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A507" w14:textId="4A2007BB" w:rsidR="00A659AB" w:rsidRPr="00F14767" w:rsidRDefault="007D015A" w:rsidP="00A659AB">
      <w:pPr>
        <w:spacing w:before="120" w:after="120" w:line="240" w:lineRule="auto"/>
        <w:jc w:val="center"/>
        <w:rPr>
          <w:rFonts w:cstheme="minorHAnsi"/>
          <w:b/>
          <w:smallCaps/>
          <w:sz w:val="24"/>
          <w:szCs w:val="24"/>
          <w:lang w:val="en-IE"/>
        </w:rPr>
      </w:pPr>
      <w:r>
        <w:rPr>
          <w:rFonts w:cstheme="minorHAnsi"/>
          <w:b/>
          <w:smallCaps/>
          <w:sz w:val="24"/>
          <w:szCs w:val="24"/>
          <w:lang w:val="en-IE"/>
        </w:rPr>
        <w:t>Ad hoc working group (Action 1) &amp; sub-groups</w:t>
      </w:r>
    </w:p>
    <w:p w14:paraId="01A7DDFB" w14:textId="71D8E1EC" w:rsidR="00A659AB" w:rsidRPr="00F14767" w:rsidRDefault="007D015A" w:rsidP="00A659AB">
      <w:pPr>
        <w:spacing w:before="120" w:after="120" w:line="240" w:lineRule="auto"/>
        <w:jc w:val="center"/>
        <w:rPr>
          <w:rFonts w:cstheme="minorHAnsi"/>
          <w:b/>
          <w:smallCaps/>
          <w:sz w:val="24"/>
          <w:szCs w:val="24"/>
          <w:lang w:val="en-IE"/>
        </w:rPr>
      </w:pPr>
      <w:r>
        <w:rPr>
          <w:rFonts w:cstheme="minorHAnsi"/>
          <w:b/>
          <w:smallCaps/>
          <w:sz w:val="24"/>
          <w:szCs w:val="24"/>
          <w:lang w:val="en-IE"/>
        </w:rPr>
        <w:t>Mandate &amp; Terms of reference</w:t>
      </w:r>
    </w:p>
    <w:p w14:paraId="13DF78CE" w14:textId="4EA1D148" w:rsidR="00B068B7" w:rsidRPr="00901302" w:rsidRDefault="00901302" w:rsidP="00C00624">
      <w:pPr>
        <w:pBdr>
          <w:bottom w:val="single" w:sz="12" w:space="1" w:color="auto"/>
        </w:pBdr>
        <w:spacing w:line="240" w:lineRule="auto"/>
        <w:jc w:val="center"/>
        <w:rPr>
          <w:rFonts w:cstheme="minorHAnsi"/>
          <w:b/>
          <w:lang w:val="en-IE"/>
        </w:rPr>
      </w:pPr>
      <w:r>
        <w:rPr>
          <w:rFonts w:cstheme="minorHAnsi"/>
          <w:b/>
          <w:lang w:val="en-IE"/>
        </w:rPr>
        <w:br/>
      </w:r>
      <w:r w:rsidR="007D015A" w:rsidRPr="00901302">
        <w:rPr>
          <w:rFonts w:cstheme="minorHAnsi"/>
          <w:b/>
          <w:lang w:val="en-IE"/>
        </w:rPr>
        <w:t>Background document for the 4</w:t>
      </w:r>
      <w:r w:rsidR="007D015A" w:rsidRPr="00901302">
        <w:rPr>
          <w:rFonts w:cstheme="minorHAnsi"/>
          <w:b/>
          <w:vertAlign w:val="superscript"/>
          <w:lang w:val="en-IE"/>
        </w:rPr>
        <w:t>th</w:t>
      </w:r>
      <w:r w:rsidR="007D015A" w:rsidRPr="00901302">
        <w:rPr>
          <w:rFonts w:cstheme="minorHAnsi"/>
          <w:b/>
          <w:lang w:val="en-IE"/>
        </w:rPr>
        <w:t xml:space="preserve"> DG R&amp;I VC | 14 May 2020</w:t>
      </w:r>
    </w:p>
    <w:p w14:paraId="0F454A7C" w14:textId="77777777" w:rsidR="00901302" w:rsidRDefault="00901302" w:rsidP="00C00624">
      <w:pPr>
        <w:spacing w:line="240" w:lineRule="auto"/>
        <w:jc w:val="center"/>
        <w:rPr>
          <w:rFonts w:cstheme="minorHAnsi"/>
          <w:sz w:val="24"/>
          <w:szCs w:val="24"/>
          <w:lang w:val="en-IE"/>
        </w:rPr>
      </w:pPr>
    </w:p>
    <w:p w14:paraId="1F6650C8" w14:textId="6670BC02" w:rsidR="007D015A" w:rsidRDefault="007D015A" w:rsidP="007D015A">
      <w:pPr>
        <w:spacing w:line="240" w:lineRule="auto"/>
        <w:jc w:val="both"/>
        <w:rPr>
          <w:rFonts w:cstheme="minorHAnsi"/>
          <w:lang w:val="en-IE"/>
        </w:rPr>
      </w:pPr>
      <w:r w:rsidRPr="007D015A">
        <w:rPr>
          <w:rFonts w:cstheme="minorHAnsi"/>
          <w:lang w:val="en-IE"/>
        </w:rPr>
        <w:t xml:space="preserve">In the context of Action 1 (Coordination of R&amp;I funding against the Coronavirus) of the </w:t>
      </w:r>
      <w:r>
        <w:rPr>
          <w:rFonts w:cstheme="minorHAnsi"/>
          <w:lang w:val="en-IE"/>
        </w:rPr>
        <w:t xml:space="preserve">ERAvsCorona </w:t>
      </w:r>
      <w:r w:rsidRPr="007D015A">
        <w:rPr>
          <w:rFonts w:cstheme="minorHAnsi"/>
          <w:lang w:val="en-IE"/>
        </w:rPr>
        <w:t xml:space="preserve">Action Plan an Ad-hoc group </w:t>
      </w:r>
      <w:r>
        <w:rPr>
          <w:rFonts w:cstheme="minorHAnsi"/>
          <w:lang w:val="en-IE"/>
        </w:rPr>
        <w:t xml:space="preserve">of experts </w:t>
      </w:r>
      <w:r w:rsidRPr="007D015A">
        <w:rPr>
          <w:rFonts w:cstheme="minorHAnsi"/>
          <w:lang w:val="en-IE"/>
        </w:rPr>
        <w:t>was set up</w:t>
      </w:r>
      <w:r>
        <w:rPr>
          <w:rFonts w:cstheme="minorHAnsi"/>
          <w:lang w:val="en-IE"/>
        </w:rPr>
        <w:t xml:space="preserve"> upon nomination by the Member States</w:t>
      </w:r>
      <w:r w:rsidR="004751AE">
        <w:rPr>
          <w:rStyle w:val="FootnoteReference"/>
          <w:rFonts w:cstheme="minorHAnsi"/>
          <w:lang w:val="en-IE"/>
        </w:rPr>
        <w:footnoteReference w:id="1"/>
      </w:r>
      <w:r w:rsidRPr="007D015A">
        <w:rPr>
          <w:rFonts w:cstheme="minorHAnsi"/>
          <w:lang w:val="en-IE"/>
        </w:rPr>
        <w:t xml:space="preserve">. </w:t>
      </w:r>
    </w:p>
    <w:p w14:paraId="74AD375D" w14:textId="4DE81F6B" w:rsidR="007D015A" w:rsidRDefault="007D015A" w:rsidP="007D015A">
      <w:pPr>
        <w:spacing w:line="240" w:lineRule="auto"/>
        <w:jc w:val="both"/>
        <w:rPr>
          <w:rFonts w:cstheme="minorHAnsi"/>
          <w:lang w:val="en-IE"/>
        </w:rPr>
      </w:pPr>
      <w:r w:rsidRPr="007D015A">
        <w:rPr>
          <w:rFonts w:cstheme="minorHAnsi"/>
          <w:lang w:val="en-IE"/>
        </w:rPr>
        <w:t xml:space="preserve">The first meeting took place on 17 April 2020 with the participation of DG R&amp;I, </w:t>
      </w:r>
      <w:r>
        <w:rPr>
          <w:rFonts w:cstheme="minorHAnsi"/>
          <w:lang w:val="en-IE"/>
        </w:rPr>
        <w:t xml:space="preserve">DG </w:t>
      </w:r>
      <w:r w:rsidRPr="007D015A">
        <w:rPr>
          <w:rFonts w:cstheme="minorHAnsi"/>
          <w:lang w:val="en-IE"/>
        </w:rPr>
        <w:t>SANTE</w:t>
      </w:r>
      <w:r>
        <w:rPr>
          <w:rFonts w:cstheme="minorHAnsi"/>
          <w:lang w:val="en-IE"/>
        </w:rPr>
        <w:t xml:space="preserve">, Member States, </w:t>
      </w:r>
      <w:r w:rsidR="00A97D20">
        <w:rPr>
          <w:rFonts w:cstheme="minorHAnsi"/>
          <w:lang w:val="en-IE"/>
        </w:rPr>
        <w:t>Switzerland</w:t>
      </w:r>
      <w:r>
        <w:rPr>
          <w:rFonts w:cstheme="minorHAnsi"/>
          <w:lang w:val="en-IE"/>
        </w:rPr>
        <w:t>, N</w:t>
      </w:r>
      <w:r w:rsidR="00A97D20">
        <w:rPr>
          <w:rFonts w:cstheme="minorHAnsi"/>
          <w:lang w:val="en-IE"/>
        </w:rPr>
        <w:t>orway</w:t>
      </w:r>
      <w:r>
        <w:rPr>
          <w:rFonts w:cstheme="minorHAnsi"/>
          <w:lang w:val="en-IE"/>
        </w:rPr>
        <w:t xml:space="preserve">, </w:t>
      </w:r>
      <w:r w:rsidR="00A97D20">
        <w:rPr>
          <w:rFonts w:cstheme="minorHAnsi"/>
          <w:lang w:val="en-IE"/>
        </w:rPr>
        <w:t xml:space="preserve">the </w:t>
      </w:r>
      <w:r>
        <w:rPr>
          <w:rFonts w:cstheme="minorHAnsi"/>
          <w:lang w:val="en-IE"/>
        </w:rPr>
        <w:t>E</w:t>
      </w:r>
      <w:r w:rsidR="00A97D20">
        <w:rPr>
          <w:rFonts w:cstheme="minorHAnsi"/>
          <w:lang w:val="en-IE"/>
        </w:rPr>
        <w:t xml:space="preserve">uropean </w:t>
      </w:r>
      <w:r>
        <w:rPr>
          <w:rFonts w:cstheme="minorHAnsi"/>
          <w:lang w:val="en-IE"/>
        </w:rPr>
        <w:t>M</w:t>
      </w:r>
      <w:r w:rsidR="00A97D20">
        <w:rPr>
          <w:rFonts w:cstheme="minorHAnsi"/>
          <w:lang w:val="en-IE"/>
        </w:rPr>
        <w:t xml:space="preserve">edicines </w:t>
      </w:r>
      <w:r>
        <w:rPr>
          <w:rFonts w:cstheme="minorHAnsi"/>
          <w:lang w:val="en-IE"/>
        </w:rPr>
        <w:t>A</w:t>
      </w:r>
      <w:r w:rsidR="00A97D20">
        <w:rPr>
          <w:rFonts w:cstheme="minorHAnsi"/>
          <w:lang w:val="en-IE"/>
        </w:rPr>
        <w:t>gency</w:t>
      </w:r>
      <w:r>
        <w:rPr>
          <w:rFonts w:cstheme="minorHAnsi"/>
          <w:lang w:val="en-IE"/>
        </w:rPr>
        <w:t xml:space="preserve">, </w:t>
      </w:r>
      <w:r w:rsidR="00A97D20">
        <w:rPr>
          <w:rFonts w:cstheme="minorHAnsi"/>
          <w:lang w:val="en-IE"/>
        </w:rPr>
        <w:t xml:space="preserve">the </w:t>
      </w:r>
      <w:r>
        <w:rPr>
          <w:rFonts w:cstheme="minorHAnsi"/>
          <w:lang w:val="en-IE"/>
        </w:rPr>
        <w:t>E</w:t>
      </w:r>
      <w:r w:rsidR="00A97D20">
        <w:rPr>
          <w:rFonts w:cstheme="minorHAnsi"/>
          <w:lang w:val="en-IE"/>
        </w:rPr>
        <w:t xml:space="preserve">uropean </w:t>
      </w:r>
      <w:r>
        <w:rPr>
          <w:rFonts w:cstheme="minorHAnsi"/>
          <w:lang w:val="en-IE"/>
        </w:rPr>
        <w:t>C</w:t>
      </w:r>
      <w:r w:rsidR="00A97D20">
        <w:rPr>
          <w:rFonts w:cstheme="minorHAnsi"/>
          <w:lang w:val="en-IE"/>
        </w:rPr>
        <w:t xml:space="preserve">entre for </w:t>
      </w:r>
      <w:r>
        <w:rPr>
          <w:rFonts w:cstheme="minorHAnsi"/>
          <w:lang w:val="en-IE"/>
        </w:rPr>
        <w:t>D</w:t>
      </w:r>
      <w:r w:rsidR="00A97D20">
        <w:rPr>
          <w:rFonts w:cstheme="minorHAnsi"/>
          <w:lang w:val="en-IE"/>
        </w:rPr>
        <w:t xml:space="preserve">isease Prevention and </w:t>
      </w:r>
      <w:r>
        <w:rPr>
          <w:rFonts w:cstheme="minorHAnsi"/>
          <w:lang w:val="en-IE"/>
        </w:rPr>
        <w:t>C</w:t>
      </w:r>
      <w:r w:rsidR="00A97D20">
        <w:rPr>
          <w:rFonts w:cstheme="minorHAnsi"/>
          <w:lang w:val="en-IE"/>
        </w:rPr>
        <w:t>ontrol</w:t>
      </w:r>
      <w:r>
        <w:rPr>
          <w:rFonts w:cstheme="minorHAnsi"/>
          <w:lang w:val="en-IE"/>
        </w:rPr>
        <w:t xml:space="preserve"> and the E</w:t>
      </w:r>
      <w:r w:rsidR="00A97D20">
        <w:rPr>
          <w:rFonts w:cstheme="minorHAnsi"/>
          <w:lang w:val="en-IE"/>
        </w:rPr>
        <w:t>uropean Investment Bank</w:t>
      </w:r>
      <w:r>
        <w:rPr>
          <w:rFonts w:cstheme="minorHAnsi"/>
          <w:lang w:val="en-IE"/>
        </w:rPr>
        <w:t xml:space="preserve">. At this meeting, the group decided to split into four sub-groups to discuss (1) Clinical trials, (2) Manufacturing, (3) Testing, and (4) </w:t>
      </w:r>
      <w:r w:rsidR="00C1726F">
        <w:rPr>
          <w:rFonts w:cstheme="minorHAnsi"/>
          <w:lang w:val="en-IE"/>
        </w:rPr>
        <w:t>Financing</w:t>
      </w:r>
      <w:r>
        <w:rPr>
          <w:rFonts w:cstheme="minorHAnsi"/>
          <w:lang w:val="en-IE"/>
        </w:rPr>
        <w:t xml:space="preserve">. </w:t>
      </w:r>
    </w:p>
    <w:p w14:paraId="329A644A" w14:textId="04C32FD0" w:rsidR="007D015A" w:rsidRDefault="007D015A" w:rsidP="00FE3147">
      <w:pPr>
        <w:pStyle w:val="ListParagraph"/>
        <w:numPr>
          <w:ilvl w:val="0"/>
          <w:numId w:val="2"/>
        </w:numPr>
        <w:spacing w:line="240" w:lineRule="auto"/>
        <w:ind w:left="426"/>
        <w:jc w:val="both"/>
        <w:rPr>
          <w:rFonts w:cstheme="minorHAnsi"/>
          <w:lang w:val="en-IE"/>
        </w:rPr>
      </w:pPr>
      <w:r w:rsidRPr="007D015A">
        <w:rPr>
          <w:rFonts w:cstheme="minorHAnsi"/>
          <w:lang w:val="en-IE"/>
        </w:rPr>
        <w:t xml:space="preserve">The proposed </w:t>
      </w:r>
      <w:r w:rsidRPr="007D015A">
        <w:rPr>
          <w:rFonts w:cstheme="minorHAnsi"/>
          <w:b/>
          <w:lang w:val="en-IE"/>
        </w:rPr>
        <w:t xml:space="preserve">mandate for the Ad hoc </w:t>
      </w:r>
      <w:r w:rsidR="00DE5734">
        <w:rPr>
          <w:rFonts w:cstheme="minorHAnsi"/>
          <w:b/>
          <w:lang w:val="en-IE"/>
        </w:rPr>
        <w:t xml:space="preserve">working </w:t>
      </w:r>
      <w:r w:rsidRPr="007D015A">
        <w:rPr>
          <w:rFonts w:cstheme="minorHAnsi"/>
          <w:b/>
          <w:lang w:val="en-IE"/>
        </w:rPr>
        <w:t>group</w:t>
      </w:r>
      <w:r w:rsidRPr="007D015A">
        <w:rPr>
          <w:rFonts w:cstheme="minorHAnsi"/>
          <w:lang w:val="en-IE"/>
        </w:rPr>
        <w:t xml:space="preserve"> can be found in </w:t>
      </w:r>
      <w:r w:rsidRPr="007D015A">
        <w:rPr>
          <w:rFonts w:cstheme="minorHAnsi"/>
          <w:b/>
          <w:lang w:val="en-IE"/>
        </w:rPr>
        <w:t>Annex I</w:t>
      </w:r>
      <w:r w:rsidRPr="007D015A">
        <w:rPr>
          <w:rFonts w:cstheme="minorHAnsi"/>
          <w:lang w:val="en-IE"/>
        </w:rPr>
        <w:t>.</w:t>
      </w:r>
    </w:p>
    <w:p w14:paraId="509C531F" w14:textId="241227EF" w:rsidR="00FE3147" w:rsidRDefault="00FE3147" w:rsidP="00FE3147">
      <w:pPr>
        <w:pStyle w:val="ListParagraph"/>
        <w:spacing w:line="240" w:lineRule="auto"/>
        <w:ind w:left="426"/>
        <w:jc w:val="both"/>
        <w:rPr>
          <w:rFonts w:cstheme="minorHAnsi"/>
          <w:lang w:val="en-IE"/>
        </w:rPr>
      </w:pPr>
      <w:r>
        <w:rPr>
          <w:rFonts w:cstheme="minorHAnsi"/>
          <w:lang w:val="en-IE"/>
        </w:rPr>
        <w:t xml:space="preserve">The DGs are asked </w:t>
      </w:r>
      <w:r w:rsidRPr="00FE3147">
        <w:rPr>
          <w:rFonts w:cstheme="minorHAnsi"/>
          <w:b/>
          <w:lang w:val="en-IE"/>
        </w:rPr>
        <w:t>to endorse the mandate</w:t>
      </w:r>
      <w:r>
        <w:rPr>
          <w:rFonts w:cstheme="minorHAnsi"/>
          <w:lang w:val="en-IE"/>
        </w:rPr>
        <w:t xml:space="preserve"> </w:t>
      </w:r>
      <w:r w:rsidRPr="00FE3147">
        <w:rPr>
          <w:rFonts w:cstheme="minorHAnsi"/>
          <w:b/>
          <w:lang w:val="en-IE"/>
        </w:rPr>
        <w:t xml:space="preserve">of the Ad-hoc </w:t>
      </w:r>
      <w:r w:rsidR="00DE5734">
        <w:rPr>
          <w:rFonts w:cstheme="minorHAnsi"/>
          <w:b/>
          <w:lang w:val="en-IE"/>
        </w:rPr>
        <w:t xml:space="preserve">working </w:t>
      </w:r>
      <w:r w:rsidRPr="00FE3147">
        <w:rPr>
          <w:rFonts w:cstheme="minorHAnsi"/>
          <w:b/>
          <w:lang w:val="en-IE"/>
        </w:rPr>
        <w:t>group</w:t>
      </w:r>
      <w:r>
        <w:rPr>
          <w:rFonts w:cstheme="minorHAnsi"/>
          <w:lang w:val="en-IE"/>
        </w:rPr>
        <w:t>.</w:t>
      </w:r>
    </w:p>
    <w:p w14:paraId="5860C737" w14:textId="77777777" w:rsidR="00FE3147" w:rsidRDefault="00FE3147" w:rsidP="00FE3147">
      <w:pPr>
        <w:pStyle w:val="ListParagraph"/>
        <w:spacing w:line="240" w:lineRule="auto"/>
        <w:ind w:left="426"/>
        <w:jc w:val="both"/>
        <w:rPr>
          <w:rFonts w:cstheme="minorHAnsi"/>
          <w:lang w:val="en-IE"/>
        </w:rPr>
      </w:pPr>
    </w:p>
    <w:p w14:paraId="4EEFDFD9" w14:textId="0771A9DF" w:rsidR="007D015A" w:rsidRPr="007D015A" w:rsidRDefault="007D015A" w:rsidP="00FE3147">
      <w:pPr>
        <w:pStyle w:val="ListParagraph"/>
        <w:numPr>
          <w:ilvl w:val="0"/>
          <w:numId w:val="2"/>
        </w:numPr>
        <w:spacing w:line="240" w:lineRule="auto"/>
        <w:ind w:left="426"/>
        <w:jc w:val="both"/>
        <w:rPr>
          <w:rFonts w:cstheme="minorHAnsi"/>
          <w:lang w:val="en-IE"/>
        </w:rPr>
      </w:pPr>
      <w:r w:rsidRPr="007D015A">
        <w:rPr>
          <w:rFonts w:cstheme="minorHAnsi"/>
          <w:lang w:val="en-IE"/>
        </w:rPr>
        <w:t xml:space="preserve">The draft </w:t>
      </w:r>
      <w:r w:rsidRPr="007D015A">
        <w:rPr>
          <w:rFonts w:cstheme="minorHAnsi"/>
          <w:b/>
          <w:lang w:val="en-IE"/>
        </w:rPr>
        <w:t>Terms of Reference of the</w:t>
      </w:r>
      <w:r>
        <w:rPr>
          <w:rFonts w:cstheme="minorHAnsi"/>
          <w:b/>
          <w:lang w:val="en-IE"/>
        </w:rPr>
        <w:t xml:space="preserve"> four</w:t>
      </w:r>
      <w:r w:rsidRPr="007D015A">
        <w:rPr>
          <w:rFonts w:cstheme="minorHAnsi"/>
          <w:b/>
          <w:lang w:val="en-IE"/>
        </w:rPr>
        <w:t xml:space="preserve"> sub-groups</w:t>
      </w:r>
      <w:r w:rsidRPr="007D015A">
        <w:rPr>
          <w:rFonts w:cstheme="minorHAnsi"/>
          <w:lang w:val="en-IE"/>
        </w:rPr>
        <w:t xml:space="preserve"> can be found </w:t>
      </w:r>
      <w:r w:rsidR="00FE3147">
        <w:rPr>
          <w:rFonts w:cstheme="minorHAnsi"/>
          <w:lang w:val="en-IE"/>
        </w:rPr>
        <w:t xml:space="preserve">for information </w:t>
      </w:r>
      <w:r w:rsidRPr="007D015A">
        <w:rPr>
          <w:rFonts w:cstheme="minorHAnsi"/>
          <w:lang w:val="en-IE"/>
        </w:rPr>
        <w:t xml:space="preserve">in </w:t>
      </w:r>
      <w:r w:rsidRPr="007D015A">
        <w:rPr>
          <w:rFonts w:cstheme="minorHAnsi"/>
          <w:b/>
          <w:lang w:val="en-IE"/>
        </w:rPr>
        <w:t>Annex II</w:t>
      </w:r>
      <w:r w:rsidRPr="007D015A">
        <w:rPr>
          <w:rFonts w:cstheme="minorHAnsi"/>
          <w:lang w:val="en-IE"/>
        </w:rPr>
        <w:t>.</w:t>
      </w:r>
    </w:p>
    <w:p w14:paraId="5C22646A" w14:textId="77777777" w:rsidR="007D015A" w:rsidRDefault="007D015A" w:rsidP="007D015A">
      <w:pPr>
        <w:spacing w:line="240" w:lineRule="auto"/>
        <w:jc w:val="both"/>
        <w:rPr>
          <w:rFonts w:cstheme="minorHAnsi"/>
          <w:u w:val="single"/>
          <w:lang w:val="en-IE"/>
        </w:rPr>
      </w:pPr>
    </w:p>
    <w:p w14:paraId="37E2A25D" w14:textId="615CD21F" w:rsidR="007D015A" w:rsidRDefault="007D015A">
      <w:pPr>
        <w:rPr>
          <w:lang w:val="en-IE"/>
        </w:rPr>
      </w:pPr>
    </w:p>
    <w:p w14:paraId="4F5E1D7D" w14:textId="77777777" w:rsidR="00FE3147" w:rsidRDefault="00FE3147">
      <w:pPr>
        <w:rPr>
          <w:b/>
          <w:u w:val="single"/>
          <w:lang w:val="en-IE"/>
        </w:rPr>
      </w:pPr>
      <w:r>
        <w:rPr>
          <w:b/>
          <w:u w:val="single"/>
          <w:lang w:val="en-IE"/>
        </w:rPr>
        <w:br w:type="page"/>
      </w:r>
    </w:p>
    <w:p w14:paraId="7DFBD4C9" w14:textId="0F8729E0" w:rsidR="007D015A" w:rsidRPr="007D015A" w:rsidRDefault="007D015A" w:rsidP="007D015A">
      <w:pPr>
        <w:spacing w:line="240" w:lineRule="auto"/>
        <w:jc w:val="center"/>
        <w:rPr>
          <w:b/>
          <w:u w:val="single"/>
          <w:lang w:val="en-IE"/>
        </w:rPr>
      </w:pPr>
      <w:r w:rsidRPr="007D015A">
        <w:rPr>
          <w:b/>
          <w:u w:val="single"/>
          <w:lang w:val="en-IE"/>
        </w:rPr>
        <w:lastRenderedPageBreak/>
        <w:t xml:space="preserve">Annex I – </w:t>
      </w:r>
      <w:r w:rsidR="0038728E">
        <w:rPr>
          <w:b/>
          <w:u w:val="single"/>
          <w:lang w:val="en-IE"/>
        </w:rPr>
        <w:t xml:space="preserve">Draft </w:t>
      </w:r>
      <w:r w:rsidRPr="007D015A">
        <w:rPr>
          <w:b/>
          <w:u w:val="single"/>
          <w:lang w:val="en-IE"/>
        </w:rPr>
        <w:t>Mandate of the Ad hoc Working Group on Action 1 of the ERAvsCorona Actionplan</w:t>
      </w:r>
    </w:p>
    <w:p w14:paraId="4C2BC717" w14:textId="42998814" w:rsidR="007D015A" w:rsidRDefault="007D015A" w:rsidP="007D015A">
      <w:pPr>
        <w:spacing w:line="240" w:lineRule="auto"/>
        <w:jc w:val="both"/>
        <w:rPr>
          <w:lang w:val="en-IE"/>
        </w:rPr>
      </w:pPr>
    </w:p>
    <w:p w14:paraId="170641DB" w14:textId="6B921D1C" w:rsidR="006502C0" w:rsidRDefault="006502C0" w:rsidP="00DC5A74">
      <w:pPr>
        <w:spacing w:line="240" w:lineRule="auto"/>
        <w:jc w:val="center"/>
        <w:rPr>
          <w:b/>
          <w:sz w:val="24"/>
          <w:szCs w:val="24"/>
        </w:rPr>
      </w:pPr>
      <w:r w:rsidRPr="0001566C">
        <w:rPr>
          <w:b/>
          <w:sz w:val="24"/>
          <w:szCs w:val="24"/>
        </w:rPr>
        <w:t xml:space="preserve">ERAvsCORONA Action plan - </w:t>
      </w:r>
      <w:r w:rsidRPr="0001566C">
        <w:rPr>
          <w:b/>
          <w:i/>
          <w:sz w:val="24"/>
          <w:szCs w:val="24"/>
        </w:rPr>
        <w:t>Ad hoc</w:t>
      </w:r>
      <w:r w:rsidRPr="0001566C">
        <w:rPr>
          <w:b/>
          <w:sz w:val="24"/>
          <w:szCs w:val="24"/>
        </w:rPr>
        <w:t xml:space="preserve"> </w:t>
      </w:r>
      <w:r w:rsidR="00DC5A74">
        <w:rPr>
          <w:b/>
          <w:sz w:val="24"/>
          <w:szCs w:val="24"/>
        </w:rPr>
        <w:t>W</w:t>
      </w:r>
      <w:r w:rsidRPr="0001566C">
        <w:rPr>
          <w:b/>
          <w:sz w:val="24"/>
          <w:szCs w:val="24"/>
        </w:rPr>
        <w:t xml:space="preserve">orking </w:t>
      </w:r>
      <w:r w:rsidR="00DC5A74">
        <w:rPr>
          <w:b/>
          <w:sz w:val="24"/>
          <w:szCs w:val="24"/>
        </w:rPr>
        <w:t>G</w:t>
      </w:r>
      <w:r w:rsidRPr="0001566C">
        <w:rPr>
          <w:b/>
          <w:sz w:val="24"/>
          <w:szCs w:val="24"/>
        </w:rPr>
        <w:t>roup</w:t>
      </w:r>
    </w:p>
    <w:p w14:paraId="777B2BB4" w14:textId="1664F893" w:rsidR="006502C0" w:rsidRDefault="006502C0" w:rsidP="00DC5A74">
      <w:pPr>
        <w:spacing w:line="240" w:lineRule="auto"/>
        <w:jc w:val="center"/>
        <w:rPr>
          <w:b/>
          <w:sz w:val="24"/>
          <w:szCs w:val="24"/>
        </w:rPr>
      </w:pPr>
      <w:r>
        <w:rPr>
          <w:b/>
          <w:sz w:val="24"/>
          <w:szCs w:val="24"/>
        </w:rPr>
        <w:t>Mandate 14 May 2020</w:t>
      </w:r>
      <w:r>
        <w:rPr>
          <w:b/>
          <w:sz w:val="24"/>
          <w:szCs w:val="24"/>
        </w:rPr>
        <w:br/>
        <w:t>__________________________________________________________________________</w:t>
      </w:r>
    </w:p>
    <w:p w14:paraId="5465FE32" w14:textId="73EEB217" w:rsidR="006502C0" w:rsidRPr="00DC5A74" w:rsidRDefault="006502C0" w:rsidP="0038728E">
      <w:pPr>
        <w:rPr>
          <w:b/>
        </w:rPr>
      </w:pPr>
      <w:r w:rsidRPr="00DC5A74">
        <w:rPr>
          <w:b/>
        </w:rPr>
        <w:t>Background</w:t>
      </w:r>
    </w:p>
    <w:p w14:paraId="03F9FFD5" w14:textId="158BA1D5" w:rsidR="0038728E" w:rsidRPr="008F55C5" w:rsidRDefault="0038728E" w:rsidP="00B12D44">
      <w:pPr>
        <w:jc w:val="both"/>
      </w:pPr>
      <w:r w:rsidRPr="00DE6D83">
        <w:t xml:space="preserve">The aim of the Ad hoc </w:t>
      </w:r>
      <w:r w:rsidR="000530F6">
        <w:t xml:space="preserve">working </w:t>
      </w:r>
      <w:r w:rsidRPr="00DE6D83">
        <w:t xml:space="preserve">group is to strengthen the </w:t>
      </w:r>
      <w:r>
        <w:t xml:space="preserve">operational </w:t>
      </w:r>
      <w:r w:rsidRPr="00DE6D83">
        <w:rPr>
          <w:rFonts w:cstheme="minorHAnsi"/>
        </w:rPr>
        <w:t>coordination of R&amp;I funding</w:t>
      </w:r>
      <w:r>
        <w:rPr>
          <w:rFonts w:cstheme="minorHAnsi"/>
        </w:rPr>
        <w:t>, and funded activities,</w:t>
      </w:r>
      <w:r w:rsidRPr="00DE6D83">
        <w:rPr>
          <w:rFonts w:cstheme="minorHAnsi"/>
        </w:rPr>
        <w:t xml:space="preserve"> against the Coronavirus</w:t>
      </w:r>
      <w:r>
        <w:rPr>
          <w:rFonts w:cstheme="minorHAnsi"/>
        </w:rPr>
        <w:t xml:space="preserve"> covering </w:t>
      </w:r>
      <w:r>
        <w:t>the whole pipeline (from pre-clinical research to products being available to citizens) for vaccines, treatments and testing.</w:t>
      </w:r>
      <w:r w:rsidR="008F55C5">
        <w:t xml:space="preserve"> </w:t>
      </w:r>
      <w:r w:rsidR="008F55C5" w:rsidRPr="00B12D44">
        <w:t xml:space="preserve">This group should enable public funders of research and innovation to work better together in a coordinated and more efficient manner in </w:t>
      </w:r>
      <w:r w:rsidR="00A97D20">
        <w:t xml:space="preserve">the </w:t>
      </w:r>
      <w:r w:rsidR="008F55C5" w:rsidRPr="00B12D44">
        <w:t>immediate need to tackle the current Covid-19 pandemic.</w:t>
      </w:r>
      <w:r w:rsidR="008F55C5">
        <w:t xml:space="preserve"> I</w:t>
      </w:r>
      <w:r w:rsidR="00A97D20">
        <w:t>t</w:t>
      </w:r>
      <w:r w:rsidR="008F55C5">
        <w:t xml:space="preserve"> will look </w:t>
      </w:r>
      <w:r w:rsidR="008F55C5" w:rsidRPr="00B12D44">
        <w:t>at the complete vaccine, treatment and testing pipelines from research to deployment</w:t>
      </w:r>
      <w:r w:rsidR="00A97D20">
        <w:t>,</w:t>
      </w:r>
      <w:r w:rsidR="008F55C5" w:rsidRPr="00B12D44">
        <w:t xml:space="preserve"> from a very pragmatic and operational aspect</w:t>
      </w:r>
      <w:r w:rsidR="008F55C5">
        <w:t>.</w:t>
      </w:r>
      <w:r w:rsidR="00A546C9">
        <w:t xml:space="preserve"> </w:t>
      </w:r>
      <w:r w:rsidR="00A546C9" w:rsidRPr="00FE3147">
        <w:t>The work of the ad-hoc group will prepare the ground for operational decisions to be taken by the R&amp;I DGs.</w:t>
      </w:r>
    </w:p>
    <w:p w14:paraId="3326F87C" w14:textId="77777777" w:rsidR="006502C0" w:rsidRDefault="006502C0" w:rsidP="0038728E">
      <w:pPr>
        <w:rPr>
          <w:rFonts w:cstheme="minorHAnsi"/>
        </w:rPr>
      </w:pPr>
    </w:p>
    <w:p w14:paraId="0D8BF8A7" w14:textId="648C9D14" w:rsidR="006502C0" w:rsidRPr="00DC5A74" w:rsidRDefault="006502C0" w:rsidP="0038728E">
      <w:pPr>
        <w:rPr>
          <w:rFonts w:cstheme="minorHAnsi"/>
          <w:b/>
        </w:rPr>
      </w:pPr>
      <w:r w:rsidRPr="00DC5A74">
        <w:rPr>
          <w:rFonts w:cstheme="minorHAnsi"/>
          <w:b/>
        </w:rPr>
        <w:t>Purpose and objective</w:t>
      </w:r>
    </w:p>
    <w:p w14:paraId="28D83113" w14:textId="5F3F1070" w:rsidR="0038728E" w:rsidRDefault="0038728E" w:rsidP="00B12D44">
      <w:pPr>
        <w:spacing w:line="240" w:lineRule="auto"/>
        <w:jc w:val="both"/>
        <w:rPr>
          <w:rFonts w:cstheme="minorHAnsi"/>
        </w:rPr>
      </w:pPr>
      <w:r>
        <w:rPr>
          <w:rFonts w:cstheme="minorHAnsi"/>
        </w:rPr>
        <w:t>The group will identify the key challenges that need to be</w:t>
      </w:r>
      <w:r w:rsidR="00206571">
        <w:rPr>
          <w:rFonts w:cstheme="minorHAnsi"/>
        </w:rPr>
        <w:t xml:space="preserve"> </w:t>
      </w:r>
      <w:r>
        <w:rPr>
          <w:rFonts w:cstheme="minorHAnsi"/>
        </w:rPr>
        <w:t xml:space="preserve">overcome </w:t>
      </w:r>
      <w:r w:rsidR="006502C0">
        <w:rPr>
          <w:rFonts w:cstheme="minorHAnsi"/>
        </w:rPr>
        <w:t xml:space="preserve">to </w:t>
      </w:r>
      <w:r>
        <w:rPr>
          <w:rFonts w:cstheme="minorHAnsi"/>
        </w:rPr>
        <w:t>ensure efficient pipelines</w:t>
      </w:r>
      <w:r w:rsidR="00206571">
        <w:rPr>
          <w:rFonts w:cstheme="minorHAnsi"/>
        </w:rPr>
        <w:t xml:space="preserve"> and </w:t>
      </w:r>
      <w:r>
        <w:rPr>
          <w:rFonts w:cstheme="minorHAnsi"/>
        </w:rPr>
        <w:t xml:space="preserve">will identify and propose solutions to </w:t>
      </w:r>
      <w:r w:rsidR="00206571">
        <w:rPr>
          <w:rFonts w:cstheme="minorHAnsi"/>
        </w:rPr>
        <w:t>face</w:t>
      </w:r>
      <w:r>
        <w:rPr>
          <w:rFonts w:cstheme="minorHAnsi"/>
        </w:rPr>
        <w:t xml:space="preserve"> </w:t>
      </w:r>
      <w:r w:rsidR="00206571">
        <w:rPr>
          <w:rFonts w:cstheme="minorHAnsi"/>
        </w:rPr>
        <w:t>them.</w:t>
      </w:r>
      <w:r w:rsidR="0019590A">
        <w:rPr>
          <w:rFonts w:cstheme="minorHAnsi"/>
        </w:rPr>
        <w:t xml:space="preserve"> </w:t>
      </w:r>
      <w:r w:rsidR="00206571">
        <w:rPr>
          <w:rFonts w:cstheme="minorHAnsi"/>
        </w:rPr>
        <w:t xml:space="preserve">It will also help in having a collective overview of combined efforts to </w:t>
      </w:r>
      <w:r w:rsidR="00206571" w:rsidRPr="00B12D44">
        <w:rPr>
          <w:rFonts w:cstheme="minorHAnsi"/>
        </w:rPr>
        <w:t xml:space="preserve">develop therapies, vaccines and diagnostics in view of the </w:t>
      </w:r>
      <w:r w:rsidR="00A97D20">
        <w:rPr>
          <w:rFonts w:cstheme="minorHAnsi"/>
        </w:rPr>
        <w:t xml:space="preserve">Coronavirus </w:t>
      </w:r>
      <w:r w:rsidR="00206571" w:rsidRPr="00B12D44">
        <w:rPr>
          <w:rFonts w:cstheme="minorHAnsi"/>
        </w:rPr>
        <w:t xml:space="preserve">Global </w:t>
      </w:r>
      <w:r w:rsidR="00A97D20">
        <w:rPr>
          <w:rFonts w:cstheme="minorHAnsi"/>
        </w:rPr>
        <w:t>Response</w:t>
      </w:r>
      <w:r w:rsidR="00206571" w:rsidRPr="00B12D44">
        <w:rPr>
          <w:rFonts w:cstheme="minorHAnsi"/>
        </w:rPr>
        <w:t xml:space="preserve">. </w:t>
      </w:r>
      <w:r>
        <w:rPr>
          <w:rFonts w:cstheme="minorHAnsi"/>
        </w:rPr>
        <w:t xml:space="preserve">Proposed solutions will be presented for decision to the appropriate decision making forums depending on </w:t>
      </w:r>
      <w:r w:rsidR="00DC5A74">
        <w:rPr>
          <w:rFonts w:cstheme="minorHAnsi"/>
        </w:rPr>
        <w:t xml:space="preserve">their </w:t>
      </w:r>
      <w:r>
        <w:rPr>
          <w:rFonts w:cstheme="minorHAnsi"/>
        </w:rPr>
        <w:t>nature</w:t>
      </w:r>
      <w:r w:rsidR="008929A4">
        <w:rPr>
          <w:rFonts w:cstheme="minorHAnsi"/>
        </w:rPr>
        <w:t>.</w:t>
      </w:r>
      <w:r>
        <w:rPr>
          <w:rFonts w:cstheme="minorHAnsi"/>
        </w:rPr>
        <w:t xml:space="preserve">   </w:t>
      </w:r>
    </w:p>
    <w:p w14:paraId="08DF5D34" w14:textId="0EF43C18" w:rsidR="0038728E" w:rsidRDefault="0038728E" w:rsidP="0038728E">
      <w:pPr>
        <w:rPr>
          <w:rFonts w:cstheme="minorHAnsi"/>
        </w:rPr>
      </w:pPr>
      <w:r>
        <w:rPr>
          <w:rFonts w:cstheme="minorHAnsi"/>
        </w:rPr>
        <w:t xml:space="preserve">The Ad hoc group can set up specific </w:t>
      </w:r>
      <w:r w:rsidR="00133815">
        <w:rPr>
          <w:rFonts w:cstheme="minorHAnsi"/>
        </w:rPr>
        <w:t xml:space="preserve">sub- </w:t>
      </w:r>
      <w:r>
        <w:rPr>
          <w:rFonts w:cstheme="minorHAnsi"/>
        </w:rPr>
        <w:t>groups to address identified challenges to ensure the competencies needed to develop adequate solutions</w:t>
      </w:r>
      <w:r w:rsidRPr="00FE3147">
        <w:rPr>
          <w:rFonts w:cstheme="minorHAnsi"/>
        </w:rPr>
        <w:t>.</w:t>
      </w:r>
      <w:r w:rsidR="002C1330" w:rsidRPr="00FE3147">
        <w:rPr>
          <w:rFonts w:cstheme="minorHAnsi"/>
        </w:rPr>
        <w:t xml:space="preserve"> The </w:t>
      </w:r>
      <w:r w:rsidR="00FE3147" w:rsidRPr="00FE3147">
        <w:rPr>
          <w:rFonts w:cstheme="minorHAnsi"/>
        </w:rPr>
        <w:t>subgroups will report to the Ad-</w:t>
      </w:r>
      <w:r w:rsidR="002C1330" w:rsidRPr="00FE3147">
        <w:rPr>
          <w:rFonts w:cstheme="minorHAnsi"/>
        </w:rPr>
        <w:t>hoc group on regular basis.</w:t>
      </w:r>
      <w:r w:rsidR="00387986">
        <w:rPr>
          <w:rFonts w:cstheme="minorHAnsi"/>
        </w:rPr>
        <w:t xml:space="preserve"> </w:t>
      </w:r>
    </w:p>
    <w:p w14:paraId="7B5F6E51" w14:textId="0EFCA57B" w:rsidR="006502C0" w:rsidRDefault="006502C0" w:rsidP="0038728E">
      <w:pPr>
        <w:rPr>
          <w:rFonts w:cstheme="minorHAnsi"/>
          <w:highlight w:val="yellow"/>
        </w:rPr>
      </w:pPr>
    </w:p>
    <w:p w14:paraId="167E34AA" w14:textId="7E22E41C" w:rsidR="006502C0" w:rsidRPr="00DC5A74" w:rsidRDefault="006502C0" w:rsidP="0038728E">
      <w:pPr>
        <w:rPr>
          <w:rFonts w:cstheme="minorHAnsi"/>
          <w:b/>
        </w:rPr>
      </w:pPr>
      <w:r w:rsidRPr="00DC5A74">
        <w:rPr>
          <w:rFonts w:cstheme="minorHAnsi"/>
          <w:b/>
        </w:rPr>
        <w:t>Members</w:t>
      </w:r>
      <w:r w:rsidR="00DC5A74">
        <w:rPr>
          <w:rFonts w:cstheme="minorHAnsi"/>
          <w:b/>
        </w:rPr>
        <w:t>hip.</w:t>
      </w:r>
    </w:p>
    <w:p w14:paraId="1AAB5B69" w14:textId="59C8FF6D" w:rsidR="00DC5A74" w:rsidRDefault="00DC5A74" w:rsidP="00DC5A74">
      <w:pPr>
        <w:rPr>
          <w:rFonts w:cstheme="minorHAnsi"/>
        </w:rPr>
      </w:pPr>
      <w:r>
        <w:rPr>
          <w:rFonts w:cstheme="minorHAnsi"/>
        </w:rPr>
        <w:t>The Ad hoc group, and its sub-groups, will be composed by appointed representatives of the Member States, Commission Services and Agencies (e.g. EMA, ECDC), and as appropriate EIB.</w:t>
      </w:r>
    </w:p>
    <w:p w14:paraId="25956481" w14:textId="454C5900" w:rsidR="006502C0" w:rsidRPr="00B12D44" w:rsidRDefault="00DC5A74" w:rsidP="0038728E">
      <w:pPr>
        <w:rPr>
          <w:rFonts w:cstheme="minorHAnsi"/>
          <w:b/>
        </w:rPr>
      </w:pPr>
      <w:r>
        <w:br/>
      </w:r>
      <w:r w:rsidRPr="00B12D44">
        <w:rPr>
          <w:rFonts w:cstheme="minorHAnsi"/>
          <w:b/>
        </w:rPr>
        <w:t>Functioning and timeframe</w:t>
      </w:r>
    </w:p>
    <w:p w14:paraId="58B77A37" w14:textId="331B1088" w:rsidR="006502C0" w:rsidRPr="00DC5A74" w:rsidRDefault="00DC5A74" w:rsidP="00772C51">
      <w:pPr>
        <w:jc w:val="both"/>
        <w:rPr>
          <w:rFonts w:cstheme="minorHAnsi"/>
        </w:rPr>
      </w:pPr>
      <w:r w:rsidRPr="00DC5A74">
        <w:rPr>
          <w:rFonts w:cstheme="minorHAnsi"/>
        </w:rPr>
        <w:t xml:space="preserve">The Ad Hoc Working Group will convene (virtually) and will be informed by the four sub-groups </w:t>
      </w:r>
      <w:r>
        <w:rPr>
          <w:rFonts w:cstheme="minorHAnsi"/>
        </w:rPr>
        <w:t>(clinical trials, manufacturing, testing, financing) about</w:t>
      </w:r>
      <w:r w:rsidRPr="00DC5A74">
        <w:rPr>
          <w:rFonts w:cstheme="minorHAnsi"/>
        </w:rPr>
        <w:t xml:space="preserve"> their discussions and recommendations.</w:t>
      </w:r>
      <w:r>
        <w:rPr>
          <w:rFonts w:cstheme="minorHAnsi"/>
        </w:rPr>
        <w:t xml:space="preserve"> A document sharing platform may be made available.</w:t>
      </w:r>
    </w:p>
    <w:p w14:paraId="08A7B56A" w14:textId="3A4A2AEC" w:rsidR="00DC5A74" w:rsidRPr="00DC5A74" w:rsidRDefault="00DC5A74" w:rsidP="00772C51">
      <w:pPr>
        <w:jc w:val="both"/>
        <w:rPr>
          <w:rFonts w:cstheme="minorHAnsi"/>
        </w:rPr>
      </w:pPr>
      <w:r w:rsidRPr="00DC5A74">
        <w:rPr>
          <w:rFonts w:cstheme="minorHAnsi"/>
        </w:rPr>
        <w:t xml:space="preserve">The Ad Hoc Working Group will report to the R&amp;I DGs on a regular basis, information provided to the R&amp;I DGs </w:t>
      </w:r>
      <w:r>
        <w:rPr>
          <w:rFonts w:cstheme="minorHAnsi"/>
        </w:rPr>
        <w:t>should</w:t>
      </w:r>
      <w:r w:rsidRPr="00DC5A74">
        <w:rPr>
          <w:rFonts w:cstheme="minorHAnsi"/>
        </w:rPr>
        <w:t xml:space="preserve"> </w:t>
      </w:r>
      <w:r>
        <w:rPr>
          <w:rFonts w:cstheme="minorHAnsi"/>
        </w:rPr>
        <w:t>facilitate</w:t>
      </w:r>
      <w:r w:rsidRPr="00DC5A74">
        <w:rPr>
          <w:rFonts w:cstheme="minorHAnsi"/>
        </w:rPr>
        <w:t xml:space="preserve"> their </w:t>
      </w:r>
      <w:r>
        <w:rPr>
          <w:rFonts w:cstheme="minorHAnsi"/>
        </w:rPr>
        <w:t>discussions and operational decision-making</w:t>
      </w:r>
      <w:r w:rsidRPr="00DC5A74">
        <w:rPr>
          <w:rFonts w:cstheme="minorHAnsi"/>
        </w:rPr>
        <w:t xml:space="preserve">. </w:t>
      </w:r>
      <w:r w:rsidR="00387986" w:rsidRPr="0019590A">
        <w:rPr>
          <w:rFonts w:cstheme="minorHAnsi"/>
        </w:rPr>
        <w:t>Any political decisions shou</w:t>
      </w:r>
      <w:r w:rsidR="0044665D">
        <w:rPr>
          <w:rFonts w:cstheme="minorHAnsi"/>
        </w:rPr>
        <w:t>ld be referred</w:t>
      </w:r>
      <w:bookmarkStart w:id="0" w:name="_GoBack"/>
      <w:bookmarkEnd w:id="0"/>
      <w:r w:rsidR="00387986" w:rsidRPr="0019590A">
        <w:rPr>
          <w:rFonts w:cstheme="minorHAnsi"/>
        </w:rPr>
        <w:t xml:space="preserve"> to the Council and its p</w:t>
      </w:r>
      <w:r w:rsidR="0019590A" w:rsidRPr="0019590A">
        <w:rPr>
          <w:rFonts w:cstheme="minorHAnsi"/>
        </w:rPr>
        <w:t>reparatory bodies</w:t>
      </w:r>
      <w:r w:rsidR="00387986" w:rsidRPr="0019590A">
        <w:rPr>
          <w:rFonts w:cstheme="minorHAnsi"/>
        </w:rPr>
        <w:t>.</w:t>
      </w:r>
    </w:p>
    <w:p w14:paraId="1C34D1CF" w14:textId="68590AA8" w:rsidR="006502C0" w:rsidRDefault="006502C0" w:rsidP="00772C51">
      <w:pPr>
        <w:jc w:val="both"/>
        <w:rPr>
          <w:rFonts w:cstheme="minorHAnsi"/>
        </w:rPr>
      </w:pPr>
      <w:r>
        <w:rPr>
          <w:rFonts w:cstheme="minorHAnsi"/>
        </w:rPr>
        <w:t>The Ad hoc Working Group and its sub-groups are established for the duration of the COVID-19 pandemic response.</w:t>
      </w:r>
    </w:p>
    <w:p w14:paraId="690E8459" w14:textId="77777777" w:rsidR="004C2863" w:rsidRDefault="004C2863">
      <w:pPr>
        <w:rPr>
          <w:b/>
          <w:u w:val="single"/>
          <w:lang w:val="en-IE"/>
        </w:rPr>
      </w:pPr>
      <w:r>
        <w:rPr>
          <w:b/>
          <w:u w:val="single"/>
          <w:lang w:val="en-IE"/>
        </w:rPr>
        <w:br w:type="page"/>
      </w:r>
    </w:p>
    <w:p w14:paraId="21432C4B" w14:textId="6C7BEBB6" w:rsidR="007D015A" w:rsidRPr="007D015A" w:rsidRDefault="007D015A" w:rsidP="007D015A">
      <w:pPr>
        <w:spacing w:line="240" w:lineRule="auto"/>
        <w:jc w:val="center"/>
        <w:rPr>
          <w:b/>
          <w:u w:val="single"/>
          <w:lang w:val="en-IE"/>
        </w:rPr>
      </w:pPr>
      <w:r w:rsidRPr="007D015A">
        <w:rPr>
          <w:b/>
          <w:u w:val="single"/>
          <w:lang w:val="en-IE"/>
        </w:rPr>
        <w:t>Annex II – Terms of Reference of the four sub-groups of the Ad hoc group on Action 1</w:t>
      </w:r>
    </w:p>
    <w:p w14:paraId="194F6706" w14:textId="653017C0" w:rsidR="007D015A" w:rsidRDefault="007D015A" w:rsidP="007D015A">
      <w:pPr>
        <w:spacing w:line="240" w:lineRule="auto"/>
        <w:jc w:val="both"/>
        <w:rPr>
          <w:lang w:val="en-IE"/>
        </w:rPr>
      </w:pPr>
    </w:p>
    <w:p w14:paraId="010C065B" w14:textId="18139DBF" w:rsidR="007D015A" w:rsidRPr="007D015A" w:rsidRDefault="007D015A" w:rsidP="007D015A">
      <w:pPr>
        <w:spacing w:line="240" w:lineRule="auto"/>
        <w:jc w:val="both"/>
        <w:rPr>
          <w:b/>
          <w:u w:val="single"/>
          <w:lang w:val="en-IE"/>
        </w:rPr>
      </w:pPr>
      <w:r w:rsidRPr="007D015A">
        <w:rPr>
          <w:b/>
          <w:u w:val="single"/>
          <w:lang w:val="en-IE"/>
        </w:rPr>
        <w:t>(1) Clinical Trials</w:t>
      </w:r>
    </w:p>
    <w:p w14:paraId="439764EE" w14:textId="77777777" w:rsidR="007D015A" w:rsidRDefault="007D015A" w:rsidP="007D015A">
      <w:pPr>
        <w:spacing w:line="240" w:lineRule="auto"/>
        <w:jc w:val="both"/>
        <w:rPr>
          <w:lang w:val="en-IE"/>
        </w:rPr>
      </w:pPr>
    </w:p>
    <w:p w14:paraId="2A63D098" w14:textId="4D5768B3" w:rsidR="007D015A" w:rsidRPr="0001566C" w:rsidRDefault="007D015A" w:rsidP="007D015A">
      <w:pPr>
        <w:jc w:val="center"/>
        <w:rPr>
          <w:b/>
          <w:sz w:val="24"/>
          <w:szCs w:val="24"/>
        </w:rPr>
      </w:pPr>
      <w:r w:rsidRPr="0001566C">
        <w:rPr>
          <w:b/>
          <w:sz w:val="24"/>
          <w:szCs w:val="24"/>
        </w:rPr>
        <w:t xml:space="preserve">ERAvsCORONA Action plan - </w:t>
      </w:r>
      <w:r w:rsidRPr="0001566C">
        <w:rPr>
          <w:b/>
          <w:i/>
          <w:sz w:val="24"/>
          <w:szCs w:val="24"/>
        </w:rPr>
        <w:t>Ad hoc</w:t>
      </w:r>
      <w:r w:rsidRPr="0001566C">
        <w:rPr>
          <w:b/>
          <w:sz w:val="24"/>
          <w:szCs w:val="24"/>
        </w:rPr>
        <w:t xml:space="preserve"> working group: Clinical trials sub-group </w:t>
      </w:r>
    </w:p>
    <w:p w14:paraId="52462033" w14:textId="30D48209" w:rsidR="007D015A" w:rsidRPr="0001566C" w:rsidRDefault="00B12D44" w:rsidP="007D015A">
      <w:pPr>
        <w:pBdr>
          <w:bottom w:val="single" w:sz="4" w:space="1" w:color="auto"/>
        </w:pBdr>
        <w:jc w:val="center"/>
        <w:rPr>
          <w:b/>
        </w:rPr>
      </w:pPr>
      <w:r>
        <w:rPr>
          <w:b/>
        </w:rPr>
        <w:t>Terms of Reference</w:t>
      </w:r>
    </w:p>
    <w:p w14:paraId="674E1B38" w14:textId="77777777" w:rsidR="007D015A" w:rsidRDefault="007D015A" w:rsidP="007D015A">
      <w:pPr>
        <w:rPr>
          <w:b/>
        </w:rPr>
      </w:pPr>
    </w:p>
    <w:p w14:paraId="3A771341" w14:textId="77777777" w:rsidR="007D015A" w:rsidRPr="0001566C" w:rsidRDefault="007D015A" w:rsidP="007D015A">
      <w:pPr>
        <w:rPr>
          <w:b/>
        </w:rPr>
      </w:pPr>
      <w:r w:rsidRPr="0001566C">
        <w:rPr>
          <w:b/>
        </w:rPr>
        <w:t>Background</w:t>
      </w:r>
    </w:p>
    <w:p w14:paraId="052A6B46" w14:textId="2B578511" w:rsidR="007D015A" w:rsidRPr="0001566C" w:rsidRDefault="007D015A" w:rsidP="007D015A">
      <w:pPr>
        <w:jc w:val="both"/>
      </w:pPr>
      <w:r w:rsidRPr="0001566C">
        <w:t xml:space="preserve">On 7 April 2020, the first ERAvsCorona Action Plan, supported by the Ministers responsible for research and innovation, was published. The </w:t>
      </w:r>
      <w:r w:rsidR="000530F6">
        <w:t>A</w:t>
      </w:r>
      <w:r w:rsidRPr="0001566C">
        <w:t xml:space="preserve">ction </w:t>
      </w:r>
      <w:r w:rsidR="000530F6">
        <w:t>P</w:t>
      </w:r>
      <w:r w:rsidRPr="0001566C">
        <w:t xml:space="preserve">lan identifies 10 short-term priority actions, based on dialogues between the Commission </w:t>
      </w:r>
      <w:r w:rsidR="000530F6">
        <w:t>s</w:t>
      </w:r>
      <w:r w:rsidRPr="0001566C">
        <w:t>ervices and National Ministries.</w:t>
      </w:r>
      <w:r w:rsidRPr="0001566C">
        <w:rPr>
          <w:rStyle w:val="FootnoteReference"/>
        </w:rPr>
        <w:footnoteReference w:id="2"/>
      </w:r>
      <w:r w:rsidRPr="0001566C">
        <w:t xml:space="preserve"> Priority number two aims at “extending and supporting large EU-wide clinical trials for clinical management of Coronavirus patients”. It is in this context that the </w:t>
      </w:r>
      <w:r w:rsidRPr="0001566C">
        <w:rPr>
          <w:i/>
        </w:rPr>
        <w:t>ad hoc</w:t>
      </w:r>
      <w:r w:rsidRPr="0001566C">
        <w:t xml:space="preserve"> working group of MS agreed on a “clinical trials sub-group”; other sub-groups will address issues related to manufacturing, testing and f</w:t>
      </w:r>
      <w:r w:rsidR="000530F6">
        <w:t>inancing</w:t>
      </w:r>
      <w:r w:rsidRPr="0001566C">
        <w:t xml:space="preserve">.  </w:t>
      </w:r>
    </w:p>
    <w:p w14:paraId="47621AEB" w14:textId="77777777" w:rsidR="007D015A" w:rsidRDefault="007D015A" w:rsidP="007D015A">
      <w:pPr>
        <w:jc w:val="both"/>
        <w:rPr>
          <w:b/>
        </w:rPr>
      </w:pPr>
    </w:p>
    <w:p w14:paraId="19AF95F2" w14:textId="77777777" w:rsidR="007D015A" w:rsidRPr="0001566C" w:rsidRDefault="007D015A" w:rsidP="007D015A">
      <w:pPr>
        <w:jc w:val="both"/>
        <w:rPr>
          <w:b/>
        </w:rPr>
      </w:pPr>
      <w:r w:rsidRPr="0001566C">
        <w:rPr>
          <w:b/>
        </w:rPr>
        <w:t>Purpose and objectives</w:t>
      </w:r>
    </w:p>
    <w:p w14:paraId="00181FF6" w14:textId="77777777" w:rsidR="007D015A" w:rsidRPr="0001566C" w:rsidRDefault="007D015A" w:rsidP="007D015A">
      <w:pPr>
        <w:jc w:val="both"/>
      </w:pPr>
      <w:r w:rsidRPr="0001566C">
        <w:t>The overall purpose of this clinical trials sub-group is to support the implementation of large-scale, multi-centric clinical trials across Europe,</w:t>
      </w:r>
      <w:r>
        <w:t xml:space="preserve"> using harmonised protocols,</w:t>
      </w:r>
      <w:r w:rsidRPr="0001566C">
        <w:t xml:space="preserve"> in order to obtain robust results that can benefit patients and the healthcare systems in a timely manner. In this regard, the following specific objectives are defined:</w:t>
      </w:r>
    </w:p>
    <w:p w14:paraId="388ED8F0" w14:textId="77777777" w:rsidR="007D015A" w:rsidRPr="0001566C" w:rsidRDefault="007D015A" w:rsidP="007D015A">
      <w:pPr>
        <w:pStyle w:val="ListParagraph"/>
        <w:numPr>
          <w:ilvl w:val="0"/>
          <w:numId w:val="4"/>
        </w:numPr>
        <w:spacing w:after="200" w:line="276" w:lineRule="auto"/>
      </w:pPr>
      <w:r w:rsidRPr="0001566C">
        <w:t xml:space="preserve">To </w:t>
      </w:r>
      <w:r>
        <w:t>facilitate an updated</w:t>
      </w:r>
      <w:r w:rsidRPr="0001566C">
        <w:t xml:space="preserve"> overview of the COVID-19 clinical trials that are planned, ongoing and finalised in EU/EEA, as well as updated information on preliminary or final results of the finalised trials; </w:t>
      </w:r>
    </w:p>
    <w:p w14:paraId="5B254E59" w14:textId="77777777" w:rsidR="007D015A" w:rsidRPr="0001566C" w:rsidRDefault="007D015A" w:rsidP="007D015A">
      <w:pPr>
        <w:pStyle w:val="ListParagraph"/>
        <w:numPr>
          <w:ilvl w:val="0"/>
          <w:numId w:val="4"/>
        </w:numPr>
        <w:spacing w:after="200" w:line="276" w:lineRule="auto"/>
      </w:pPr>
      <w:r w:rsidRPr="0001566C">
        <w:t xml:space="preserve">To </w:t>
      </w:r>
      <w:r>
        <w:t xml:space="preserve"> facilitate </w:t>
      </w:r>
      <w:r w:rsidRPr="0001566C">
        <w:t>the creation of an EU-wide network on clinical trials, organised on the concept of adaptive platform trials, and</w:t>
      </w:r>
      <w:r>
        <w:t xml:space="preserve"> advise on</w:t>
      </w:r>
      <w:r w:rsidRPr="0001566C">
        <w:t xml:space="preserve"> therapeutic compounds and/or vaccine candidates to be assessed; </w:t>
      </w:r>
    </w:p>
    <w:p w14:paraId="413B87AB" w14:textId="77777777" w:rsidR="007D015A" w:rsidRDefault="007D015A" w:rsidP="007D015A">
      <w:pPr>
        <w:pStyle w:val="ListParagraph"/>
        <w:numPr>
          <w:ilvl w:val="0"/>
          <w:numId w:val="4"/>
        </w:numPr>
        <w:spacing w:after="200" w:line="276" w:lineRule="auto"/>
      </w:pPr>
      <w:r w:rsidRPr="0001566C">
        <w:t xml:space="preserve">To </w:t>
      </w:r>
      <w:r>
        <w:t xml:space="preserve">advise on </w:t>
      </w:r>
      <w:r w:rsidRPr="0001566C">
        <w:t xml:space="preserve">addressing the political, ethical, administrative, regulatory and logistical (PEARL) hurdles that may hamper the rapid implementation or adaptation of clinical trials run within the network and  in general on the EU territory. </w:t>
      </w:r>
    </w:p>
    <w:p w14:paraId="13F3A73D" w14:textId="77777777" w:rsidR="007D015A" w:rsidRDefault="007D015A" w:rsidP="007D015A">
      <w:pPr>
        <w:jc w:val="both"/>
        <w:rPr>
          <w:b/>
        </w:rPr>
      </w:pPr>
      <w:r w:rsidRPr="00671545">
        <w:rPr>
          <w:b/>
        </w:rPr>
        <w:t>Membership</w:t>
      </w:r>
    </w:p>
    <w:p w14:paraId="05637E85" w14:textId="49ADA4F7" w:rsidR="007D015A" w:rsidRDefault="007D015A" w:rsidP="007D015A">
      <w:pPr>
        <w:jc w:val="both"/>
      </w:pPr>
      <w:r w:rsidRPr="0001566C">
        <w:t xml:space="preserve">Members of the clinical trials sub-group are appointed representatives from the Member States; national competent authorities (NCAs) will be represented by the two co-chairs of the clinical trials facilitation group (HMA) and committee members bringing ethics expertise by two experts from the European Commission clinical trials expert group (CTEG). </w:t>
      </w:r>
      <w:r w:rsidR="009F0FD2">
        <w:t>R</w:t>
      </w:r>
      <w:r w:rsidRPr="0001566C">
        <w:t>epresentatives from DG R</w:t>
      </w:r>
      <w:r w:rsidR="009F0FD2">
        <w:t>&amp;I</w:t>
      </w:r>
      <w:r w:rsidRPr="0001566C">
        <w:t>, DG SANTE, EMA and ECDC are included.</w:t>
      </w:r>
    </w:p>
    <w:p w14:paraId="54F96000" w14:textId="77777777" w:rsidR="007D015A" w:rsidRPr="00671545" w:rsidRDefault="007D015A" w:rsidP="007D015A">
      <w:pPr>
        <w:jc w:val="both"/>
        <w:rPr>
          <w:b/>
        </w:rPr>
      </w:pPr>
      <w:r w:rsidRPr="0001566C">
        <w:t>The clinical trials sub-group is coordinated by DG Research &amp; Innovation.</w:t>
      </w:r>
    </w:p>
    <w:p w14:paraId="4A21E5A2" w14:textId="77777777" w:rsidR="007D015A" w:rsidRPr="0001566C" w:rsidRDefault="007D015A" w:rsidP="007D015A">
      <w:pPr>
        <w:rPr>
          <w:b/>
        </w:rPr>
      </w:pPr>
      <w:r w:rsidRPr="0001566C">
        <w:rPr>
          <w:b/>
        </w:rPr>
        <w:t>Functioning</w:t>
      </w:r>
      <w:r>
        <w:rPr>
          <w:b/>
        </w:rPr>
        <w:t xml:space="preserve"> and timeframe</w:t>
      </w:r>
    </w:p>
    <w:p w14:paraId="1173458E" w14:textId="259E6967" w:rsidR="007D015A" w:rsidRDefault="007D015A" w:rsidP="007D015A">
      <w:pPr>
        <w:jc w:val="both"/>
      </w:pPr>
      <w:r w:rsidRPr="0001566C">
        <w:t xml:space="preserve">The clinical trials sub-group will communicate mainly through e-mail exchange; a document sharing platform may be made available. As relevant, (virtual) meetings will be organised. The sub-group will report to the </w:t>
      </w:r>
      <w:r w:rsidRPr="0001566C">
        <w:rPr>
          <w:i/>
        </w:rPr>
        <w:t>ad hoc</w:t>
      </w:r>
      <w:r w:rsidRPr="0001566C">
        <w:t xml:space="preserve"> working group on regular basis. Coordination with the WHO R&amp;D Blueprint will be ensured.</w:t>
      </w:r>
      <w:r>
        <w:t xml:space="preserve"> </w:t>
      </w:r>
    </w:p>
    <w:p w14:paraId="0E4019ED" w14:textId="77777777" w:rsidR="007D015A" w:rsidRDefault="007D015A" w:rsidP="007D015A">
      <w:pPr>
        <w:jc w:val="both"/>
      </w:pPr>
      <w:r>
        <w:t>The clinical trial sub-group is established for the duration of the COVID-19 pandemic response.</w:t>
      </w:r>
    </w:p>
    <w:p w14:paraId="0C31C6A8" w14:textId="77777777" w:rsidR="007D015A" w:rsidRPr="007D015A" w:rsidRDefault="007D015A" w:rsidP="007D015A">
      <w:pPr>
        <w:spacing w:line="240" w:lineRule="auto"/>
        <w:jc w:val="both"/>
      </w:pPr>
    </w:p>
    <w:p w14:paraId="09ECD60C" w14:textId="74392638" w:rsidR="007D015A" w:rsidRDefault="007D015A">
      <w:pPr>
        <w:rPr>
          <w:lang w:val="en-IE"/>
        </w:rPr>
      </w:pPr>
      <w:r>
        <w:rPr>
          <w:lang w:val="en-IE"/>
        </w:rPr>
        <w:br w:type="page"/>
      </w:r>
    </w:p>
    <w:p w14:paraId="4F7C1D57" w14:textId="695AA366" w:rsidR="007D015A" w:rsidRPr="00901302" w:rsidRDefault="007D015A" w:rsidP="007D015A">
      <w:pPr>
        <w:spacing w:line="240" w:lineRule="auto"/>
        <w:jc w:val="both"/>
        <w:rPr>
          <w:b/>
          <w:u w:val="single"/>
          <w:lang w:val="en-IE"/>
        </w:rPr>
      </w:pPr>
      <w:r w:rsidRPr="00901302">
        <w:rPr>
          <w:b/>
          <w:u w:val="single"/>
          <w:lang w:val="en-IE"/>
        </w:rPr>
        <w:t xml:space="preserve">(2) </w:t>
      </w:r>
      <w:r w:rsidR="00901302" w:rsidRPr="00901302">
        <w:rPr>
          <w:b/>
          <w:u w:val="single"/>
          <w:lang w:val="en-IE"/>
        </w:rPr>
        <w:t>Manufacturing</w:t>
      </w:r>
    </w:p>
    <w:p w14:paraId="553B74DE" w14:textId="77777777" w:rsidR="00901302" w:rsidRDefault="00901302" w:rsidP="007D015A">
      <w:pPr>
        <w:spacing w:line="240" w:lineRule="auto"/>
        <w:jc w:val="both"/>
        <w:rPr>
          <w:lang w:val="en-IE"/>
        </w:rPr>
      </w:pPr>
    </w:p>
    <w:p w14:paraId="1CF261AD" w14:textId="493E6DCF" w:rsidR="00901302" w:rsidRPr="00935540" w:rsidRDefault="00901302" w:rsidP="00901302">
      <w:pPr>
        <w:jc w:val="center"/>
        <w:rPr>
          <w:b/>
          <w:sz w:val="24"/>
          <w:szCs w:val="24"/>
        </w:rPr>
      </w:pPr>
      <w:r w:rsidRPr="00935540">
        <w:rPr>
          <w:b/>
          <w:sz w:val="24"/>
          <w:szCs w:val="24"/>
        </w:rPr>
        <w:t>ERAvsCORONA</w:t>
      </w:r>
      <w:r>
        <w:rPr>
          <w:b/>
          <w:sz w:val="24"/>
          <w:szCs w:val="24"/>
        </w:rPr>
        <w:t xml:space="preserve"> Action plan</w:t>
      </w:r>
      <w:r w:rsidRPr="00935540">
        <w:rPr>
          <w:b/>
          <w:sz w:val="24"/>
          <w:szCs w:val="24"/>
        </w:rPr>
        <w:t xml:space="preserve"> - </w:t>
      </w:r>
      <w:r w:rsidRPr="00D958B4">
        <w:rPr>
          <w:b/>
          <w:i/>
          <w:sz w:val="24"/>
          <w:szCs w:val="24"/>
        </w:rPr>
        <w:t>Ad hoc</w:t>
      </w:r>
      <w:r w:rsidRPr="00935540">
        <w:rPr>
          <w:b/>
          <w:sz w:val="24"/>
          <w:szCs w:val="24"/>
        </w:rPr>
        <w:t xml:space="preserve"> working group: </w:t>
      </w:r>
      <w:r>
        <w:rPr>
          <w:b/>
          <w:sz w:val="24"/>
          <w:szCs w:val="24"/>
        </w:rPr>
        <w:t>Manufacturing s</w:t>
      </w:r>
      <w:r w:rsidRPr="00935540">
        <w:rPr>
          <w:b/>
          <w:sz w:val="24"/>
          <w:szCs w:val="24"/>
        </w:rPr>
        <w:t xml:space="preserve">ub-group </w:t>
      </w:r>
    </w:p>
    <w:p w14:paraId="1999E7F7" w14:textId="1681E9F6" w:rsidR="00901302" w:rsidRPr="00935540" w:rsidRDefault="008B6A7E" w:rsidP="00901302">
      <w:pPr>
        <w:pBdr>
          <w:bottom w:val="single" w:sz="4" w:space="1" w:color="auto"/>
        </w:pBdr>
        <w:jc w:val="center"/>
        <w:rPr>
          <w:b/>
        </w:rPr>
      </w:pPr>
      <w:r>
        <w:rPr>
          <w:b/>
        </w:rPr>
        <w:t xml:space="preserve">Draft </w:t>
      </w:r>
      <w:r w:rsidR="00B12D44">
        <w:rPr>
          <w:b/>
        </w:rPr>
        <w:t>Terms of Reference</w:t>
      </w:r>
    </w:p>
    <w:p w14:paraId="4064B876" w14:textId="77777777" w:rsidR="00901302" w:rsidRPr="009B5E25" w:rsidRDefault="00901302" w:rsidP="00901302">
      <w:pPr>
        <w:rPr>
          <w:b/>
        </w:rPr>
      </w:pPr>
      <w:r>
        <w:rPr>
          <w:b/>
        </w:rPr>
        <w:t>Background</w:t>
      </w:r>
    </w:p>
    <w:p w14:paraId="73055683" w14:textId="7B076C6C" w:rsidR="00901302" w:rsidRDefault="00901302" w:rsidP="00901302">
      <w:pPr>
        <w:jc w:val="both"/>
      </w:pPr>
      <w:r>
        <w:t xml:space="preserve">On </w:t>
      </w:r>
      <w:r w:rsidRPr="009B5E25">
        <w:t>7 April 2020, the first ERAvsCorona Action Plan</w:t>
      </w:r>
      <w:r>
        <w:t xml:space="preserve">, supported by the </w:t>
      </w:r>
      <w:r w:rsidRPr="009B5E25">
        <w:t>Ministers responsible for research and innovation</w:t>
      </w:r>
      <w:r>
        <w:t xml:space="preserve">, was published. The action plan identifies </w:t>
      </w:r>
      <w:r w:rsidRPr="009B5E25">
        <w:t xml:space="preserve">10 </w:t>
      </w:r>
      <w:r>
        <w:t xml:space="preserve">short-term </w:t>
      </w:r>
      <w:r w:rsidRPr="009B5E25">
        <w:t>priority actions</w:t>
      </w:r>
      <w:r>
        <w:t xml:space="preserve">, based on </w:t>
      </w:r>
      <w:r w:rsidRPr="009B5E25">
        <w:t>dialogues between</w:t>
      </w:r>
      <w:r>
        <w:t xml:space="preserve"> the Commission Services and National Ministries.</w:t>
      </w:r>
      <w:r>
        <w:rPr>
          <w:rStyle w:val="FootnoteReference"/>
        </w:rPr>
        <w:footnoteReference w:id="3"/>
      </w:r>
      <w:r w:rsidRPr="009B5E25">
        <w:t xml:space="preserve"> </w:t>
      </w:r>
      <w:r>
        <w:t>Priorities number three and four aim at “</w:t>
      </w:r>
      <w:r w:rsidRPr="00CC39FB">
        <w:t>innovative and rapid health-related approaches to respond to coronavirus and deliver quick results relevant to society and a higher level of preparedness of health systems</w:t>
      </w:r>
      <w:r>
        <w:t>” and “i</w:t>
      </w:r>
      <w:r w:rsidRPr="005459B0">
        <w:t>ncreasing support to innovative companies</w:t>
      </w:r>
      <w:r>
        <w:t xml:space="preserve">”. In this context, the </w:t>
      </w:r>
      <w:r w:rsidRPr="00DA168A">
        <w:rPr>
          <w:i/>
        </w:rPr>
        <w:t>ad hoc</w:t>
      </w:r>
      <w:r>
        <w:t xml:space="preserve"> working group of MS agreed on a “manufacturing sub-group”; other sub-groups will address issues related to clinical trials, testing and f</w:t>
      </w:r>
      <w:r w:rsidR="006D1025">
        <w:t>inancing</w:t>
      </w:r>
      <w:r>
        <w:t xml:space="preserve">.  </w:t>
      </w:r>
    </w:p>
    <w:p w14:paraId="2ED4E304" w14:textId="77777777" w:rsidR="00901302" w:rsidRPr="00DB7902" w:rsidRDefault="00901302" w:rsidP="00901302">
      <w:pPr>
        <w:rPr>
          <w:b/>
        </w:rPr>
      </w:pPr>
      <w:r>
        <w:rPr>
          <w:b/>
        </w:rPr>
        <w:t>Membership</w:t>
      </w:r>
    </w:p>
    <w:p w14:paraId="3815DB02" w14:textId="73DD58B5" w:rsidR="00901302" w:rsidRDefault="00901302" w:rsidP="00901302">
      <w:pPr>
        <w:jc w:val="both"/>
      </w:pPr>
      <w:r>
        <w:t xml:space="preserve">Members of the manufacturing sub-group are </w:t>
      </w:r>
      <w:r w:rsidRPr="00644093">
        <w:t>appointed representatives from the Member States</w:t>
      </w:r>
      <w:r>
        <w:t xml:space="preserve"> as well as representatives </w:t>
      </w:r>
      <w:r w:rsidRPr="00644093">
        <w:t xml:space="preserve">from </w:t>
      </w:r>
      <w:r>
        <w:t>the Commission (</w:t>
      </w:r>
      <w:r w:rsidRPr="00644093">
        <w:t xml:space="preserve">DG SANTE, </w:t>
      </w:r>
      <w:r w:rsidR="00DC5A74">
        <w:t>R&amp;I</w:t>
      </w:r>
      <w:r>
        <w:t>, GROW and COMP) and from industry associations in the EU. The sub-group is coordinated by DG Health and Food Safety (SANTE).</w:t>
      </w:r>
    </w:p>
    <w:p w14:paraId="397FAB4D" w14:textId="0DA0FBC9" w:rsidR="00901302" w:rsidRPr="009B5E25" w:rsidRDefault="00DC5A74" w:rsidP="00901302">
      <w:pPr>
        <w:jc w:val="both"/>
        <w:rPr>
          <w:b/>
        </w:rPr>
      </w:pPr>
      <w:r>
        <w:rPr>
          <w:b/>
        </w:rPr>
        <w:t xml:space="preserve">Purpose </w:t>
      </w:r>
      <w:r w:rsidR="00901302">
        <w:rPr>
          <w:b/>
        </w:rPr>
        <w:t xml:space="preserve">and </w:t>
      </w:r>
      <w:r w:rsidR="00901302" w:rsidRPr="009B5E25">
        <w:rPr>
          <w:b/>
        </w:rPr>
        <w:t>objective</w:t>
      </w:r>
      <w:r w:rsidR="00901302">
        <w:rPr>
          <w:b/>
        </w:rPr>
        <w:t>s</w:t>
      </w:r>
    </w:p>
    <w:p w14:paraId="71DB7F10" w14:textId="77777777" w:rsidR="00901302" w:rsidRDefault="00901302" w:rsidP="00B76872">
      <w:pPr>
        <w:jc w:val="both"/>
      </w:pPr>
      <w:r>
        <w:t xml:space="preserve">The overall aim of this manufacturing sub-group is to </w:t>
      </w:r>
      <w:r w:rsidRPr="00533636">
        <w:t xml:space="preserve">identify and propose actions to </w:t>
      </w:r>
      <w:r w:rsidRPr="00B6396C">
        <w:t>accelerat</w:t>
      </w:r>
      <w:r>
        <w:t>e</w:t>
      </w:r>
      <w:r w:rsidRPr="00B6396C">
        <w:t xml:space="preserve"> the </w:t>
      </w:r>
      <w:r>
        <w:t>production</w:t>
      </w:r>
      <w:r w:rsidRPr="00B6396C">
        <w:t xml:space="preserve"> of </w:t>
      </w:r>
      <w:r>
        <w:t xml:space="preserve">effective </w:t>
      </w:r>
      <w:r w:rsidRPr="00B6396C">
        <w:t xml:space="preserve">diagnostics, treatments and vaccines </w:t>
      </w:r>
      <w:r>
        <w:t xml:space="preserve">for COVID-19, including the scale-up of the capacity for their manufacturing and </w:t>
      </w:r>
      <w:r w:rsidRPr="00B6396C">
        <w:t>distribution</w:t>
      </w:r>
      <w:r>
        <w:t>. In this regard, the following specific objectives are defined:</w:t>
      </w:r>
    </w:p>
    <w:p w14:paraId="0CA67DB4" w14:textId="73E81460" w:rsidR="00901302" w:rsidRDefault="00901302" w:rsidP="00B76872">
      <w:pPr>
        <w:pStyle w:val="ListParagraph"/>
        <w:numPr>
          <w:ilvl w:val="0"/>
          <w:numId w:val="12"/>
        </w:numPr>
        <w:spacing w:after="200" w:line="276" w:lineRule="auto"/>
        <w:jc w:val="both"/>
      </w:pPr>
      <w:r>
        <w:t>To map and determine the existing manufacturing capacity in E</w:t>
      </w:r>
      <w:r w:rsidR="00AA38C9">
        <w:t>urope</w:t>
      </w:r>
      <w:r>
        <w:t>, both in publicly and privately owned facilities.</w:t>
      </w:r>
    </w:p>
    <w:p w14:paraId="6A3123A7" w14:textId="77777777" w:rsidR="00901302" w:rsidRDefault="00901302" w:rsidP="00B76872">
      <w:pPr>
        <w:pStyle w:val="ListParagraph"/>
        <w:numPr>
          <w:ilvl w:val="0"/>
          <w:numId w:val="12"/>
        </w:numPr>
        <w:spacing w:after="200" w:line="276" w:lineRule="auto"/>
        <w:jc w:val="both"/>
      </w:pPr>
      <w:r>
        <w:t>To determine the required degree of scale-up in manufacturing capacity: what is urgently needed in the short-term and what is also needed in the long-term to maintain adequate manufacturing capacity for resilience and other use after COVID-19.</w:t>
      </w:r>
    </w:p>
    <w:p w14:paraId="7A319F85" w14:textId="77777777" w:rsidR="00901302" w:rsidRDefault="00901302" w:rsidP="00B76872">
      <w:pPr>
        <w:pStyle w:val="ListParagraph"/>
        <w:numPr>
          <w:ilvl w:val="0"/>
          <w:numId w:val="12"/>
        </w:numPr>
        <w:spacing w:after="200" w:line="276" w:lineRule="auto"/>
        <w:jc w:val="both"/>
      </w:pPr>
      <w:r>
        <w:t xml:space="preserve">To define the associated investment needs, both for (a) repurposing, upgrading and expanding existing manufacturing facilities, as well as (b) building new facilities. </w:t>
      </w:r>
    </w:p>
    <w:p w14:paraId="5CC1BA0F" w14:textId="77777777" w:rsidR="00901302" w:rsidRDefault="00901302" w:rsidP="00B76872">
      <w:pPr>
        <w:pStyle w:val="ListParagraph"/>
        <w:numPr>
          <w:ilvl w:val="0"/>
          <w:numId w:val="12"/>
        </w:numPr>
        <w:spacing w:after="200" w:line="276" w:lineRule="auto"/>
        <w:jc w:val="both"/>
      </w:pPr>
      <w:r>
        <w:t xml:space="preserve">To identify relevant national investment initiatives, the contributions that the current and future EU funding instruments can make, and to explore complementarities among all these. </w:t>
      </w:r>
    </w:p>
    <w:p w14:paraId="0F0BBE53" w14:textId="4059B51C" w:rsidR="00901302" w:rsidRPr="00DC520A" w:rsidRDefault="00901302" w:rsidP="00B76872">
      <w:pPr>
        <w:jc w:val="both"/>
        <w:rPr>
          <w:b/>
        </w:rPr>
      </w:pPr>
      <w:r w:rsidRPr="00DC520A">
        <w:rPr>
          <w:b/>
        </w:rPr>
        <w:t>Functioning</w:t>
      </w:r>
      <w:r w:rsidR="00DC5A74">
        <w:rPr>
          <w:b/>
        </w:rPr>
        <w:t xml:space="preserve"> and timeframe</w:t>
      </w:r>
    </w:p>
    <w:p w14:paraId="06A88DBD" w14:textId="29629638" w:rsidR="00DC5A74" w:rsidRDefault="00901302" w:rsidP="00B76872">
      <w:pPr>
        <w:jc w:val="both"/>
      </w:pPr>
      <w:r>
        <w:t xml:space="preserve">The manufacturing sub-group will communicate mainly through e-mail exchange; a document sharing platform may be made available. As relevant, (virtual) meetings will be organised. The sub-group will report to the </w:t>
      </w:r>
      <w:r w:rsidRPr="00D958B4">
        <w:rPr>
          <w:i/>
        </w:rPr>
        <w:t>ad hoc</w:t>
      </w:r>
      <w:r>
        <w:t xml:space="preserve"> working group on regular basis and liaise closely with the three other sub-groups. </w:t>
      </w:r>
      <w:r w:rsidR="00DC5A74">
        <w:t>The sub-group is established for the duration of the COVID-19 pandemic response.</w:t>
      </w:r>
    </w:p>
    <w:p w14:paraId="509126B5" w14:textId="77777777" w:rsidR="00901302" w:rsidRDefault="00901302" w:rsidP="00901302"/>
    <w:p w14:paraId="319FAFB6" w14:textId="01911869" w:rsidR="007D015A" w:rsidRDefault="00901302" w:rsidP="007D015A">
      <w:pPr>
        <w:spacing w:line="240" w:lineRule="auto"/>
        <w:jc w:val="both"/>
        <w:rPr>
          <w:b/>
          <w:lang w:val="en-IE"/>
        </w:rPr>
      </w:pPr>
      <w:r w:rsidRPr="00901302">
        <w:rPr>
          <w:b/>
          <w:lang w:val="en-IE"/>
        </w:rPr>
        <w:t>(3) Testing</w:t>
      </w:r>
    </w:p>
    <w:p w14:paraId="36622346" w14:textId="77777777" w:rsidR="00901302" w:rsidRPr="00901302" w:rsidRDefault="00901302" w:rsidP="007D015A">
      <w:pPr>
        <w:spacing w:line="240" w:lineRule="auto"/>
        <w:jc w:val="both"/>
        <w:rPr>
          <w:b/>
          <w:lang w:val="en-IE"/>
        </w:rPr>
      </w:pPr>
    </w:p>
    <w:p w14:paraId="1CA047B1" w14:textId="4629B930" w:rsidR="00901302" w:rsidRPr="00B12D44" w:rsidRDefault="00901302" w:rsidP="00901302">
      <w:pPr>
        <w:pBdr>
          <w:bottom w:val="single" w:sz="12" w:space="1" w:color="auto"/>
        </w:pBdr>
        <w:jc w:val="center"/>
        <w:rPr>
          <w:b/>
          <w:sz w:val="24"/>
          <w:szCs w:val="24"/>
        </w:rPr>
      </w:pPr>
      <w:r w:rsidRPr="00B12D44">
        <w:rPr>
          <w:b/>
          <w:sz w:val="24"/>
          <w:szCs w:val="24"/>
        </w:rPr>
        <w:t xml:space="preserve">ERAvsCORONA Action plan - </w:t>
      </w:r>
      <w:r w:rsidRPr="00B12D44">
        <w:rPr>
          <w:b/>
          <w:i/>
          <w:sz w:val="24"/>
          <w:szCs w:val="24"/>
        </w:rPr>
        <w:t>Ad hoc</w:t>
      </w:r>
      <w:r w:rsidRPr="00B12D44">
        <w:rPr>
          <w:b/>
          <w:sz w:val="24"/>
          <w:szCs w:val="24"/>
        </w:rPr>
        <w:t xml:space="preserve"> working group: Testing </w:t>
      </w:r>
      <w:r w:rsidR="00DC5A74" w:rsidRPr="00B12D44">
        <w:rPr>
          <w:b/>
          <w:sz w:val="24"/>
          <w:szCs w:val="24"/>
        </w:rPr>
        <w:t>sub-group</w:t>
      </w:r>
    </w:p>
    <w:p w14:paraId="7A919FBE" w14:textId="77777777" w:rsidR="00901302" w:rsidRPr="00901302" w:rsidRDefault="00901302" w:rsidP="00901302">
      <w:pPr>
        <w:jc w:val="center"/>
        <w:rPr>
          <w:rFonts w:ascii="Calibri" w:hAnsi="Calibri" w:cs="Calibri"/>
          <w:b/>
          <w:u w:val="single"/>
          <w:lang w:val="en-IE"/>
        </w:rPr>
      </w:pPr>
      <w:r w:rsidRPr="00B12D44">
        <w:rPr>
          <w:rFonts w:ascii="Calibri" w:hAnsi="Calibri" w:cs="Calibri"/>
          <w:b/>
          <w:u w:val="single"/>
          <w:lang w:val="en-IE"/>
        </w:rPr>
        <w:t>Draft Terms of Reference</w:t>
      </w:r>
    </w:p>
    <w:p w14:paraId="07DB9BA0" w14:textId="77777777" w:rsidR="00DC5A74" w:rsidRPr="00DC5A74" w:rsidRDefault="00DC5A74" w:rsidP="00901302">
      <w:pPr>
        <w:rPr>
          <w:rFonts w:ascii="Calibri" w:hAnsi="Calibri" w:cs="Calibri"/>
          <w:b/>
          <w:lang w:val="en-IE"/>
        </w:rPr>
      </w:pPr>
      <w:r w:rsidRPr="00DC5A74">
        <w:rPr>
          <w:rFonts w:ascii="Calibri" w:hAnsi="Calibri" w:cs="Calibri"/>
          <w:b/>
          <w:lang w:val="en-IE"/>
        </w:rPr>
        <w:t>Background</w:t>
      </w:r>
    </w:p>
    <w:p w14:paraId="011E9B90" w14:textId="6979FC94" w:rsidR="00901302" w:rsidRPr="00901302" w:rsidRDefault="00901302" w:rsidP="00B76872">
      <w:pPr>
        <w:jc w:val="both"/>
        <w:rPr>
          <w:rFonts w:ascii="Calibri" w:hAnsi="Calibri" w:cs="Calibri"/>
          <w:lang w:val="en-IE"/>
        </w:rPr>
      </w:pPr>
      <w:r w:rsidRPr="00901302">
        <w:rPr>
          <w:rFonts w:ascii="Calibri" w:hAnsi="Calibri" w:cs="Calibri"/>
          <w:lang w:val="en-IE"/>
        </w:rPr>
        <w:t xml:space="preserve">The ad hoc Working Group on Testing of the Member States Research Network is set up in the context of </w:t>
      </w:r>
    </w:p>
    <w:p w14:paraId="0E42846F" w14:textId="77777777" w:rsidR="00901302" w:rsidRPr="00901302" w:rsidRDefault="00901302" w:rsidP="00B76872">
      <w:pPr>
        <w:pStyle w:val="ListParagraph"/>
        <w:numPr>
          <w:ilvl w:val="0"/>
          <w:numId w:val="11"/>
        </w:numPr>
        <w:spacing w:after="0" w:line="240" w:lineRule="auto"/>
        <w:contextualSpacing w:val="0"/>
        <w:jc w:val="both"/>
        <w:rPr>
          <w:rFonts w:ascii="Calibri" w:hAnsi="Calibri" w:cs="Calibri"/>
          <w:lang w:val="en-IE"/>
        </w:rPr>
      </w:pPr>
      <w:r w:rsidRPr="00901302">
        <w:rPr>
          <w:rFonts w:ascii="Calibri" w:hAnsi="Calibri" w:cs="Calibri"/>
          <w:lang w:val="en-IE"/>
        </w:rPr>
        <w:t xml:space="preserve">the </w:t>
      </w:r>
      <w:r w:rsidRPr="00901302">
        <w:rPr>
          <w:rFonts w:ascii="Calibri" w:hAnsi="Calibri" w:cs="Calibri"/>
        </w:rPr>
        <w:t>ERAvsCorona action plan</w:t>
      </w:r>
      <w:r w:rsidRPr="00901302">
        <w:rPr>
          <w:rStyle w:val="FootnoteReference"/>
          <w:rFonts w:ascii="Calibri" w:hAnsi="Calibri" w:cs="Calibri"/>
        </w:rPr>
        <w:footnoteReference w:id="4"/>
      </w:r>
      <w:r w:rsidRPr="00901302">
        <w:rPr>
          <w:rFonts w:ascii="Calibri" w:hAnsi="Calibri" w:cs="Calibri"/>
          <w:color w:val="404040"/>
          <w:shd w:val="clear" w:color="auto" w:fill="FFFFFF"/>
        </w:rPr>
        <w:t xml:space="preserve"> </w:t>
      </w:r>
      <w:r w:rsidRPr="00901302">
        <w:rPr>
          <w:rFonts w:ascii="Calibri" w:hAnsi="Calibri" w:cs="Calibri"/>
        </w:rPr>
        <w:t>which lays out 10 priority short-term coordinated actions to tackle coronavirus</w:t>
      </w:r>
      <w:r w:rsidRPr="00901302">
        <w:rPr>
          <w:rFonts w:ascii="Calibri" w:hAnsi="Calibri" w:cs="Calibri"/>
          <w:lang w:val="en-IE"/>
        </w:rPr>
        <w:t xml:space="preserve"> and </w:t>
      </w:r>
    </w:p>
    <w:p w14:paraId="28DF54BE" w14:textId="77777777" w:rsidR="00901302" w:rsidRPr="00901302" w:rsidRDefault="00901302" w:rsidP="00B76872">
      <w:pPr>
        <w:pStyle w:val="ListParagraph"/>
        <w:numPr>
          <w:ilvl w:val="0"/>
          <w:numId w:val="11"/>
        </w:numPr>
        <w:spacing w:after="0" w:line="240" w:lineRule="auto"/>
        <w:contextualSpacing w:val="0"/>
        <w:jc w:val="both"/>
        <w:rPr>
          <w:rFonts w:ascii="Calibri" w:hAnsi="Calibri" w:cs="Calibri"/>
          <w:lang w:val="en-IE"/>
        </w:rPr>
      </w:pPr>
      <w:r w:rsidRPr="00901302">
        <w:rPr>
          <w:rFonts w:ascii="Calibri" w:hAnsi="Calibri" w:cs="Calibri"/>
          <w:lang w:val="en-IE"/>
        </w:rPr>
        <w:t>the Communication from the Commission</w:t>
      </w:r>
      <w:r w:rsidRPr="00901302">
        <w:rPr>
          <w:rStyle w:val="FootnoteReference"/>
          <w:rFonts w:ascii="Calibri" w:hAnsi="Calibri" w:cs="Calibri"/>
          <w:lang w:val="en-IE"/>
        </w:rPr>
        <w:footnoteReference w:id="5"/>
      </w:r>
      <w:r w:rsidRPr="00901302">
        <w:rPr>
          <w:rFonts w:ascii="Calibri" w:hAnsi="Calibri" w:cs="Calibri"/>
          <w:lang w:val="en-IE"/>
        </w:rPr>
        <w:t xml:space="preserve"> on “Guidelines on COVID-19 in vitro diagnostic tests and their performance” adopted on 15 April 2020.</w:t>
      </w:r>
    </w:p>
    <w:p w14:paraId="1AC2C7C4" w14:textId="77777777" w:rsidR="00901302" w:rsidRPr="00901302" w:rsidRDefault="00901302" w:rsidP="00B76872">
      <w:pPr>
        <w:jc w:val="both"/>
        <w:rPr>
          <w:rFonts w:ascii="Calibri" w:hAnsi="Calibri" w:cs="Calibri"/>
          <w:lang w:val="en-IE"/>
        </w:rPr>
      </w:pPr>
    </w:p>
    <w:p w14:paraId="21EF3280" w14:textId="5B1F2296" w:rsidR="00DC5A74" w:rsidRPr="00DC5A74" w:rsidRDefault="00DC5A74" w:rsidP="00B76872">
      <w:pPr>
        <w:jc w:val="both"/>
        <w:rPr>
          <w:rFonts w:ascii="Calibri" w:hAnsi="Calibri" w:cs="Calibri"/>
          <w:b/>
          <w:lang w:val="en-IE"/>
        </w:rPr>
      </w:pPr>
      <w:r w:rsidRPr="00DC5A74">
        <w:rPr>
          <w:rFonts w:ascii="Calibri" w:hAnsi="Calibri" w:cs="Calibri"/>
          <w:b/>
          <w:lang w:val="en-IE"/>
        </w:rPr>
        <w:t>Purpose and objectives</w:t>
      </w:r>
    </w:p>
    <w:p w14:paraId="3D767804" w14:textId="53987526" w:rsidR="00901302" w:rsidRPr="00901302" w:rsidRDefault="00DC5A74" w:rsidP="00B76872">
      <w:pPr>
        <w:jc w:val="both"/>
        <w:rPr>
          <w:rFonts w:ascii="Calibri" w:hAnsi="Calibri" w:cs="Calibri"/>
          <w:lang w:val="en-IE"/>
        </w:rPr>
      </w:pPr>
      <w:r>
        <w:rPr>
          <w:rFonts w:ascii="Calibri" w:hAnsi="Calibri" w:cs="Calibri"/>
          <w:lang w:val="en-IE"/>
        </w:rPr>
        <w:t>The</w:t>
      </w:r>
      <w:r w:rsidRPr="00901302">
        <w:rPr>
          <w:rFonts w:ascii="Calibri" w:hAnsi="Calibri" w:cs="Calibri"/>
          <w:lang w:val="en-IE"/>
        </w:rPr>
        <w:t xml:space="preserve"> </w:t>
      </w:r>
      <w:r w:rsidR="00901302" w:rsidRPr="00901302">
        <w:rPr>
          <w:rFonts w:ascii="Calibri" w:hAnsi="Calibri" w:cs="Calibri"/>
          <w:lang w:val="en-IE"/>
        </w:rPr>
        <w:t xml:space="preserve">activities </w:t>
      </w:r>
      <w:r>
        <w:rPr>
          <w:rFonts w:ascii="Calibri" w:hAnsi="Calibri" w:cs="Calibri"/>
          <w:lang w:val="en-IE"/>
        </w:rPr>
        <w:t xml:space="preserve">of this sub-group </w:t>
      </w:r>
      <w:r w:rsidR="00901302" w:rsidRPr="00901302">
        <w:rPr>
          <w:rFonts w:ascii="Calibri" w:hAnsi="Calibri" w:cs="Calibri"/>
          <w:lang w:val="en-IE"/>
        </w:rPr>
        <w:t xml:space="preserve">are in line with the following action listed in the </w:t>
      </w:r>
      <w:r>
        <w:rPr>
          <w:rFonts w:ascii="Calibri" w:hAnsi="Calibri" w:cs="Calibri"/>
          <w:lang w:val="en-IE"/>
        </w:rPr>
        <w:t xml:space="preserve">Commission </w:t>
      </w:r>
      <w:r w:rsidR="00901302" w:rsidRPr="00901302">
        <w:rPr>
          <w:rFonts w:ascii="Calibri" w:hAnsi="Calibri" w:cs="Calibri"/>
          <w:lang w:val="en-IE"/>
        </w:rPr>
        <w:t>Communication</w:t>
      </w:r>
      <w:r w:rsidR="00901302" w:rsidRPr="00901302">
        <w:rPr>
          <w:rFonts w:ascii="Calibri" w:hAnsi="Calibri" w:cs="Calibri"/>
          <w:vertAlign w:val="superscript"/>
          <w:lang w:val="en-IE"/>
        </w:rPr>
        <w:t>2</w:t>
      </w:r>
      <w:r>
        <w:rPr>
          <w:rFonts w:ascii="Calibri" w:hAnsi="Calibri" w:cs="Calibri"/>
          <w:lang w:val="en-IE"/>
        </w:rPr>
        <w:t xml:space="preserve"> on testing kits:</w:t>
      </w:r>
    </w:p>
    <w:p w14:paraId="2F6DF506" w14:textId="77777777" w:rsidR="00901302" w:rsidRPr="00901302" w:rsidRDefault="00901302" w:rsidP="00B76872">
      <w:pPr>
        <w:jc w:val="both"/>
        <w:rPr>
          <w:rFonts w:ascii="Calibri" w:hAnsi="Calibri" w:cs="Calibri"/>
          <w:lang w:val="en-IE"/>
        </w:rPr>
      </w:pPr>
      <w:r w:rsidRPr="00901302">
        <w:rPr>
          <w:rFonts w:ascii="Calibri" w:hAnsi="Calibri" w:cs="Calibri"/>
          <w:lang w:val="en-IE"/>
        </w:rPr>
        <w:t>“</w:t>
      </w:r>
      <w:r w:rsidRPr="00901302">
        <w:rPr>
          <w:rFonts w:ascii="Calibri" w:hAnsi="Calibri" w:cs="Calibri"/>
          <w:i/>
          <w:lang w:val="en-IE"/>
        </w:rPr>
        <w:t>The Commission, together with Member States, will put efforts into the development of tools to enable evaluation of device performance and align approaches across the Union, such as reference materials and methods for standardised comparison. This will require close cooperation between regulators, health technology assessment bodies, the ECDC, the COVID-19 reference laboratory network, research organisations and industry to ensure the most optimal outcome. The Commission will consider which funding opportunities will provide support for these activities.</w:t>
      </w:r>
      <w:r w:rsidRPr="00901302">
        <w:rPr>
          <w:rFonts w:ascii="Calibri" w:hAnsi="Calibri" w:cs="Calibri"/>
          <w:lang w:val="en-IE"/>
        </w:rPr>
        <w:t>”</w:t>
      </w:r>
    </w:p>
    <w:p w14:paraId="2D1C4D03" w14:textId="77777777" w:rsidR="00901302" w:rsidRPr="00901302" w:rsidRDefault="00901302" w:rsidP="00B76872">
      <w:pPr>
        <w:jc w:val="both"/>
        <w:rPr>
          <w:rFonts w:ascii="Calibri" w:hAnsi="Calibri" w:cs="Calibri"/>
          <w:lang w:val="en-IE"/>
        </w:rPr>
      </w:pPr>
      <w:r w:rsidRPr="00901302">
        <w:rPr>
          <w:rFonts w:ascii="Calibri" w:hAnsi="Calibri" w:cs="Calibri"/>
          <w:lang w:val="en-IE"/>
        </w:rPr>
        <w:t>Its activities will also feed into the following action:</w:t>
      </w:r>
    </w:p>
    <w:p w14:paraId="31C32C9B" w14:textId="77777777" w:rsidR="00901302" w:rsidRPr="00901302" w:rsidRDefault="00901302" w:rsidP="00B76872">
      <w:pPr>
        <w:jc w:val="both"/>
        <w:rPr>
          <w:rFonts w:ascii="Calibri" w:hAnsi="Calibri" w:cs="Calibri"/>
        </w:rPr>
      </w:pPr>
      <w:r w:rsidRPr="00901302">
        <w:rPr>
          <w:rFonts w:ascii="Calibri" w:hAnsi="Calibri" w:cs="Calibri"/>
          <w:lang w:val="en-IE"/>
        </w:rPr>
        <w:t>“</w:t>
      </w:r>
      <w:r w:rsidRPr="00901302">
        <w:rPr>
          <w:rFonts w:ascii="Calibri" w:hAnsi="Calibri" w:cs="Calibri"/>
          <w:i/>
          <w:lang w:val="en-IE"/>
        </w:rPr>
        <w:t>The Commission, supported by the ECDC, health technology assessment experts and in vitro diagnostics competent authorities, will assist Member States with a centralised overview of available information on test performance and act as a single point of contact for management of this information.</w:t>
      </w:r>
      <w:r w:rsidRPr="00901302">
        <w:rPr>
          <w:rFonts w:ascii="Calibri" w:hAnsi="Calibri" w:cs="Calibri"/>
          <w:lang w:val="en-IE"/>
        </w:rPr>
        <w:t xml:space="preserve">” </w:t>
      </w:r>
    </w:p>
    <w:p w14:paraId="4E07A4B7" w14:textId="3417D2D6" w:rsidR="00901302" w:rsidRPr="00901302" w:rsidRDefault="00901302" w:rsidP="00B76872">
      <w:pPr>
        <w:jc w:val="both"/>
        <w:rPr>
          <w:rFonts w:ascii="Calibri" w:hAnsi="Calibri" w:cs="Calibri"/>
          <w:color w:val="000000"/>
        </w:rPr>
      </w:pPr>
      <w:r w:rsidRPr="00901302">
        <w:rPr>
          <w:rFonts w:ascii="Calibri" w:hAnsi="Calibri" w:cs="Calibri"/>
          <w:color w:val="000000"/>
        </w:rPr>
        <w:t>The following items should be addressed by the Working Group:</w:t>
      </w:r>
    </w:p>
    <w:p w14:paraId="1646CD49" w14:textId="77777777" w:rsidR="00901302" w:rsidRPr="00901302" w:rsidRDefault="00901302" w:rsidP="00B76872">
      <w:pPr>
        <w:pStyle w:val="ListParagraph"/>
        <w:numPr>
          <w:ilvl w:val="0"/>
          <w:numId w:val="10"/>
        </w:numPr>
        <w:spacing w:after="0" w:line="240" w:lineRule="auto"/>
        <w:contextualSpacing w:val="0"/>
        <w:jc w:val="both"/>
        <w:rPr>
          <w:rFonts w:ascii="Calibri" w:hAnsi="Calibri" w:cs="Calibri"/>
        </w:rPr>
      </w:pPr>
      <w:r w:rsidRPr="00901302">
        <w:rPr>
          <w:rFonts w:ascii="Calibri" w:hAnsi="Calibri" w:cs="Calibri"/>
          <w:color w:val="000000"/>
        </w:rPr>
        <w:t xml:space="preserve">Identify most needed research and development goals for advancing and broadening the testing techniques and equipment for both direct SARS-CoV-2 detection and the detection of antibodies actively involved in the immunological defence towards this virus. Although </w:t>
      </w:r>
      <w:r w:rsidRPr="00901302">
        <w:rPr>
          <w:rFonts w:ascii="Calibri" w:hAnsi="Calibri" w:cs="Calibri"/>
        </w:rPr>
        <w:t xml:space="preserve">a holistic view on the whole process is required - including proof of concept, development for the market, introduction in clinical use – the focus should be on the research and innovation part. </w:t>
      </w:r>
    </w:p>
    <w:p w14:paraId="353E23F7" w14:textId="7D57EEF1" w:rsidR="00901302" w:rsidRPr="00901302" w:rsidRDefault="00C145DD" w:rsidP="00C145DD">
      <w:pPr>
        <w:pStyle w:val="ListParagraph"/>
        <w:numPr>
          <w:ilvl w:val="0"/>
          <w:numId w:val="10"/>
        </w:numPr>
        <w:spacing w:after="0" w:line="240" w:lineRule="auto"/>
        <w:contextualSpacing w:val="0"/>
        <w:jc w:val="both"/>
        <w:rPr>
          <w:rFonts w:ascii="Calibri" w:hAnsi="Calibri" w:cs="Calibri"/>
          <w:color w:val="000000"/>
        </w:rPr>
      </w:pPr>
      <w:r>
        <w:rPr>
          <w:rFonts w:ascii="Calibri" w:hAnsi="Calibri" w:cs="Calibri"/>
          <w:color w:val="000000"/>
        </w:rPr>
        <w:t>Give advice on the setting-</w:t>
      </w:r>
      <w:r w:rsidRPr="00C145DD">
        <w:rPr>
          <w:rFonts w:ascii="Calibri" w:hAnsi="Calibri" w:cs="Calibri"/>
          <w:color w:val="000000"/>
        </w:rPr>
        <w:t xml:space="preserve">up </w:t>
      </w:r>
      <w:r>
        <w:rPr>
          <w:rFonts w:ascii="Calibri" w:hAnsi="Calibri" w:cs="Calibri"/>
          <w:color w:val="000000"/>
        </w:rPr>
        <w:t xml:space="preserve">of </w:t>
      </w:r>
      <w:r w:rsidR="00BB53D2">
        <w:rPr>
          <w:rFonts w:ascii="Calibri" w:hAnsi="Calibri" w:cs="Calibri"/>
          <w:color w:val="000000"/>
        </w:rPr>
        <w:t>a strategic R&amp;I</w:t>
      </w:r>
      <w:r w:rsidRPr="00C145DD">
        <w:rPr>
          <w:rFonts w:ascii="Calibri" w:hAnsi="Calibri" w:cs="Calibri"/>
          <w:color w:val="000000"/>
        </w:rPr>
        <w:t xml:space="preserve"> agenda on COVID-19 diagnostics</w:t>
      </w:r>
      <w:r w:rsidR="00BB53D2">
        <w:rPr>
          <w:rFonts w:ascii="Calibri" w:hAnsi="Calibri" w:cs="Calibri"/>
          <w:color w:val="000000"/>
        </w:rPr>
        <w:t>, to be endorsed by the R&amp;I DGs</w:t>
      </w:r>
    </w:p>
    <w:p w14:paraId="2BF68848" w14:textId="77777777" w:rsidR="00901302" w:rsidRPr="00901302" w:rsidRDefault="00901302" w:rsidP="00B76872">
      <w:pPr>
        <w:pStyle w:val="ListParagraph"/>
        <w:numPr>
          <w:ilvl w:val="0"/>
          <w:numId w:val="10"/>
        </w:numPr>
        <w:spacing w:after="0" w:line="240" w:lineRule="auto"/>
        <w:contextualSpacing w:val="0"/>
        <w:jc w:val="both"/>
        <w:rPr>
          <w:rFonts w:ascii="Calibri" w:hAnsi="Calibri" w:cs="Calibri"/>
          <w:color w:val="000000"/>
        </w:rPr>
      </w:pPr>
      <w:r w:rsidRPr="00901302">
        <w:rPr>
          <w:rFonts w:ascii="Calibri" w:hAnsi="Calibri" w:cs="Calibri"/>
          <w:color w:val="000000"/>
        </w:rPr>
        <w:t xml:space="preserve">Map national research and development activities </w:t>
      </w:r>
    </w:p>
    <w:p w14:paraId="2BD70BEC" w14:textId="1AD31869" w:rsidR="00901302" w:rsidRPr="00901302" w:rsidRDefault="00073C71" w:rsidP="00B76872">
      <w:pPr>
        <w:pStyle w:val="ListParagraph"/>
        <w:numPr>
          <w:ilvl w:val="0"/>
          <w:numId w:val="10"/>
        </w:numPr>
        <w:spacing w:after="0" w:line="240" w:lineRule="auto"/>
        <w:contextualSpacing w:val="0"/>
        <w:jc w:val="both"/>
        <w:rPr>
          <w:rFonts w:ascii="Calibri" w:hAnsi="Calibri" w:cs="Calibri"/>
          <w:color w:val="000000"/>
        </w:rPr>
      </w:pPr>
      <w:r w:rsidRPr="00073C71">
        <w:rPr>
          <w:rFonts w:ascii="Calibri" w:hAnsi="Calibri" w:cs="Calibri"/>
          <w:color w:val="000000"/>
        </w:rPr>
        <w:t>Coordinate/cluster national research and development activities</w:t>
      </w:r>
      <w:r w:rsidRPr="00073C71" w:rsidDel="00073C71">
        <w:rPr>
          <w:rFonts w:ascii="Calibri" w:hAnsi="Calibri" w:cs="Calibri"/>
          <w:color w:val="000000"/>
        </w:rPr>
        <w:t xml:space="preserve"> </w:t>
      </w:r>
    </w:p>
    <w:p w14:paraId="73F1276F" w14:textId="77777777" w:rsidR="00901302" w:rsidRPr="00901302" w:rsidRDefault="00901302" w:rsidP="00B76872">
      <w:pPr>
        <w:pStyle w:val="ListParagraph"/>
        <w:numPr>
          <w:ilvl w:val="0"/>
          <w:numId w:val="10"/>
        </w:numPr>
        <w:spacing w:after="0" w:line="240" w:lineRule="auto"/>
        <w:contextualSpacing w:val="0"/>
        <w:jc w:val="both"/>
        <w:rPr>
          <w:rFonts w:ascii="Calibri" w:hAnsi="Calibri" w:cs="Calibri"/>
          <w:color w:val="000000"/>
        </w:rPr>
      </w:pPr>
      <w:r w:rsidRPr="00901302">
        <w:rPr>
          <w:rFonts w:ascii="Calibri" w:hAnsi="Calibri" w:cs="Calibri"/>
          <w:color w:val="000000"/>
        </w:rPr>
        <w:t>Monitor scientific/research developments</w:t>
      </w:r>
    </w:p>
    <w:p w14:paraId="0582D134" w14:textId="77777777" w:rsidR="00901302" w:rsidRPr="00901302" w:rsidRDefault="00901302" w:rsidP="00B76872">
      <w:pPr>
        <w:pStyle w:val="ListParagraph"/>
        <w:numPr>
          <w:ilvl w:val="0"/>
          <w:numId w:val="10"/>
        </w:numPr>
        <w:spacing w:after="0" w:line="240" w:lineRule="auto"/>
        <w:contextualSpacing w:val="0"/>
        <w:jc w:val="both"/>
        <w:rPr>
          <w:rFonts w:ascii="Calibri" w:hAnsi="Calibri" w:cs="Calibri"/>
          <w:color w:val="000000"/>
        </w:rPr>
      </w:pPr>
      <w:r w:rsidRPr="00901302">
        <w:rPr>
          <w:rFonts w:ascii="Calibri" w:hAnsi="Calibri" w:cs="Calibri"/>
          <w:color w:val="000000"/>
        </w:rPr>
        <w:t>Serve as a forum to discuss the centralised overview of information on performance</w:t>
      </w:r>
    </w:p>
    <w:p w14:paraId="06A05F62" w14:textId="77777777" w:rsidR="00901302" w:rsidRPr="00901302" w:rsidRDefault="00901302" w:rsidP="00901302">
      <w:pPr>
        <w:rPr>
          <w:rFonts w:ascii="Calibri" w:hAnsi="Calibri" w:cs="Calibri"/>
          <w:color w:val="000000"/>
        </w:rPr>
      </w:pPr>
    </w:p>
    <w:p w14:paraId="5177DB83" w14:textId="67547347" w:rsidR="00901302" w:rsidRDefault="00901302" w:rsidP="00901302">
      <w:pPr>
        <w:rPr>
          <w:rFonts w:ascii="Calibri" w:hAnsi="Calibri" w:cs="Calibri"/>
          <w:color w:val="000000"/>
        </w:rPr>
      </w:pPr>
      <w:r w:rsidRPr="00901302">
        <w:rPr>
          <w:rFonts w:ascii="Calibri" w:hAnsi="Calibri" w:cs="Calibri"/>
          <w:color w:val="000000"/>
        </w:rPr>
        <w:t xml:space="preserve">Regulatory aspects of COVID-19 diagnostics fall outside the remit of this group. </w:t>
      </w:r>
    </w:p>
    <w:p w14:paraId="2DD74E39" w14:textId="46C5404A" w:rsidR="00DC5A74" w:rsidRDefault="00DC5A74" w:rsidP="00901302">
      <w:pPr>
        <w:rPr>
          <w:rFonts w:ascii="Calibri" w:hAnsi="Calibri" w:cs="Calibri"/>
          <w:color w:val="000000"/>
        </w:rPr>
      </w:pPr>
    </w:p>
    <w:p w14:paraId="0301F5CD" w14:textId="77777777" w:rsidR="00DC5A74" w:rsidRDefault="00DC5A74" w:rsidP="00DC5A74">
      <w:pPr>
        <w:jc w:val="both"/>
        <w:rPr>
          <w:b/>
        </w:rPr>
      </w:pPr>
      <w:r w:rsidRPr="00671545">
        <w:rPr>
          <w:b/>
        </w:rPr>
        <w:t>Membership</w:t>
      </w:r>
    </w:p>
    <w:p w14:paraId="18403898" w14:textId="73527E51" w:rsidR="00DC5A74" w:rsidRDefault="00DC5A74" w:rsidP="00DC5A74">
      <w:pPr>
        <w:rPr>
          <w:rFonts w:ascii="Calibri" w:hAnsi="Calibri" w:cs="Calibri"/>
          <w:color w:val="000000"/>
        </w:rPr>
      </w:pPr>
      <w:r w:rsidRPr="0001566C">
        <w:t xml:space="preserve">Members of the </w:t>
      </w:r>
      <w:r w:rsidRPr="00B12D44">
        <w:t>testing sub-group are appointed representatives from the Member States and</w:t>
      </w:r>
      <w:r w:rsidR="006A1452">
        <w:t xml:space="preserve"> from DG R&amp;I, JRC, SANTE, GROW, ECDC, EMA</w:t>
      </w:r>
      <w:r w:rsidR="00630298" w:rsidRPr="00B12D44">
        <w:t>; it is coordinated</w:t>
      </w:r>
      <w:r w:rsidR="006A1452">
        <w:t xml:space="preserve"> by DG R&amp;I and JRC.</w:t>
      </w:r>
    </w:p>
    <w:p w14:paraId="07CDD9B4" w14:textId="770133AC" w:rsidR="00DC5A74" w:rsidRDefault="00DC5A74" w:rsidP="00901302">
      <w:pPr>
        <w:rPr>
          <w:rFonts w:ascii="Calibri" w:hAnsi="Calibri" w:cs="Calibri"/>
          <w:color w:val="000000"/>
        </w:rPr>
      </w:pPr>
    </w:p>
    <w:p w14:paraId="0428321E" w14:textId="680C7E67" w:rsidR="00DC5A74" w:rsidRPr="00DC5A74" w:rsidRDefault="00DC5A74" w:rsidP="00901302">
      <w:pPr>
        <w:rPr>
          <w:rFonts w:ascii="Calibri" w:hAnsi="Calibri" w:cs="Calibri"/>
          <w:b/>
          <w:color w:val="000000"/>
        </w:rPr>
      </w:pPr>
      <w:r w:rsidRPr="00DC5A74">
        <w:rPr>
          <w:rFonts w:ascii="Calibri" w:hAnsi="Calibri" w:cs="Calibri"/>
          <w:b/>
          <w:color w:val="000000"/>
        </w:rPr>
        <w:t>Functioning and timeframe</w:t>
      </w:r>
    </w:p>
    <w:p w14:paraId="574849CE" w14:textId="3C71765F" w:rsidR="00DC5A74" w:rsidRDefault="00DC5A74" w:rsidP="00DC5A74">
      <w:pPr>
        <w:jc w:val="both"/>
      </w:pPr>
      <w:r>
        <w:t xml:space="preserve">The testing sub-group will communicate mainly through e-mail exchange; a document sharing platform may be made available. As relevant, (virtual) meetings will be organised. The sub-group will report to the </w:t>
      </w:r>
      <w:r w:rsidRPr="00D958B4">
        <w:rPr>
          <w:i/>
        </w:rPr>
        <w:t>ad hoc</w:t>
      </w:r>
      <w:r>
        <w:t xml:space="preserve"> working group on regular basis and liaise closely with the three other sub-groups. </w:t>
      </w:r>
    </w:p>
    <w:p w14:paraId="18C498FD" w14:textId="1BC10778" w:rsidR="00DC5A74" w:rsidRDefault="00DC5A74" w:rsidP="00DC5A74">
      <w:pPr>
        <w:jc w:val="both"/>
      </w:pPr>
      <w:r>
        <w:t>The sub-group is established for the duration of the COVID-19 pandemic response.</w:t>
      </w:r>
    </w:p>
    <w:p w14:paraId="0BF7AA25" w14:textId="77777777" w:rsidR="00DC5A74" w:rsidRDefault="00DC5A74" w:rsidP="00901302">
      <w:pPr>
        <w:rPr>
          <w:rFonts w:ascii="Calibri" w:hAnsi="Calibri" w:cs="Calibri"/>
          <w:color w:val="000000"/>
        </w:rPr>
      </w:pPr>
    </w:p>
    <w:p w14:paraId="7AA2685A" w14:textId="77777777" w:rsidR="00DC5A74" w:rsidRPr="00901302" w:rsidRDefault="00DC5A74" w:rsidP="00901302">
      <w:pPr>
        <w:rPr>
          <w:rFonts w:ascii="Calibri" w:hAnsi="Calibri" w:cs="Calibri"/>
          <w:color w:val="000000"/>
        </w:rPr>
      </w:pPr>
    </w:p>
    <w:p w14:paraId="50BB5153" w14:textId="77777777" w:rsidR="00DC5A74" w:rsidRDefault="00DC5A74">
      <w:pPr>
        <w:rPr>
          <w:rFonts w:ascii="Calibri" w:hAnsi="Calibri" w:cs="Calibri"/>
          <w:b/>
          <w:color w:val="000000"/>
          <w:u w:val="single"/>
        </w:rPr>
      </w:pPr>
      <w:r>
        <w:rPr>
          <w:rFonts w:ascii="Calibri" w:hAnsi="Calibri" w:cs="Calibri"/>
          <w:b/>
          <w:color w:val="000000"/>
          <w:u w:val="single"/>
        </w:rPr>
        <w:br w:type="page"/>
      </w:r>
    </w:p>
    <w:p w14:paraId="1C46A9F5" w14:textId="67D6E8F6" w:rsidR="00901302" w:rsidRPr="00901302" w:rsidRDefault="00901302" w:rsidP="00901302">
      <w:pPr>
        <w:rPr>
          <w:rFonts w:ascii="Calibri" w:hAnsi="Calibri" w:cs="Calibri"/>
          <w:b/>
          <w:color w:val="000000"/>
          <w:u w:val="single"/>
        </w:rPr>
      </w:pPr>
      <w:r w:rsidRPr="00901302">
        <w:rPr>
          <w:rFonts w:ascii="Calibri" w:hAnsi="Calibri" w:cs="Calibri"/>
          <w:b/>
          <w:color w:val="000000"/>
          <w:u w:val="single"/>
        </w:rPr>
        <w:t>(4) F</w:t>
      </w:r>
      <w:r w:rsidR="006D1025">
        <w:rPr>
          <w:rFonts w:ascii="Calibri" w:hAnsi="Calibri" w:cs="Calibri"/>
          <w:b/>
          <w:color w:val="000000"/>
          <w:u w:val="single"/>
        </w:rPr>
        <w:t>inancing</w:t>
      </w:r>
    </w:p>
    <w:p w14:paraId="55666D87" w14:textId="77777777" w:rsidR="00901302" w:rsidRPr="00901302" w:rsidRDefault="00901302" w:rsidP="00901302">
      <w:pPr>
        <w:spacing w:line="240" w:lineRule="auto"/>
        <w:jc w:val="both"/>
        <w:rPr>
          <w:b/>
          <w:lang w:val="en-IE"/>
        </w:rPr>
      </w:pPr>
    </w:p>
    <w:p w14:paraId="639129FE" w14:textId="3AB40606" w:rsidR="00F42FED" w:rsidRPr="0042743A" w:rsidRDefault="00F42FED" w:rsidP="00F42FED">
      <w:pPr>
        <w:jc w:val="center"/>
        <w:rPr>
          <w:b/>
          <w:sz w:val="24"/>
          <w:szCs w:val="24"/>
        </w:rPr>
      </w:pPr>
      <w:r w:rsidRPr="0042743A">
        <w:rPr>
          <w:b/>
          <w:sz w:val="24"/>
          <w:szCs w:val="24"/>
        </w:rPr>
        <w:t xml:space="preserve">ERAvsCORONA Action plan - </w:t>
      </w:r>
      <w:r w:rsidRPr="0042743A">
        <w:rPr>
          <w:b/>
          <w:i/>
          <w:sz w:val="24"/>
          <w:szCs w:val="24"/>
        </w:rPr>
        <w:t>Ad hoc</w:t>
      </w:r>
      <w:r w:rsidRPr="0042743A">
        <w:rPr>
          <w:b/>
          <w:sz w:val="24"/>
          <w:szCs w:val="24"/>
        </w:rPr>
        <w:t xml:space="preserve"> working group: Financing sub-group </w:t>
      </w:r>
    </w:p>
    <w:p w14:paraId="5304E07F" w14:textId="67FEA513" w:rsidR="00F42FED" w:rsidRPr="0042743A" w:rsidRDefault="00F42FED" w:rsidP="00F42FED">
      <w:pPr>
        <w:pBdr>
          <w:bottom w:val="single" w:sz="4" w:space="1" w:color="auto"/>
        </w:pBdr>
        <w:jc w:val="center"/>
        <w:rPr>
          <w:b/>
        </w:rPr>
      </w:pPr>
      <w:r w:rsidRPr="0042743A">
        <w:rPr>
          <w:b/>
        </w:rPr>
        <w:t>Terms of Reference</w:t>
      </w:r>
    </w:p>
    <w:p w14:paraId="7D253F33" w14:textId="77777777" w:rsidR="00F42FED" w:rsidRPr="0042743A" w:rsidRDefault="00F42FED" w:rsidP="00F42FED">
      <w:pPr>
        <w:rPr>
          <w:b/>
        </w:rPr>
      </w:pPr>
      <w:r w:rsidRPr="0042743A">
        <w:rPr>
          <w:b/>
        </w:rPr>
        <w:t>Background</w:t>
      </w:r>
    </w:p>
    <w:p w14:paraId="18F68A48" w14:textId="77777777" w:rsidR="00F42FED" w:rsidRPr="0042743A" w:rsidRDefault="00F42FED" w:rsidP="00F42FED">
      <w:pPr>
        <w:jc w:val="both"/>
      </w:pPr>
      <w:r w:rsidRPr="0042743A">
        <w:t>On 7 April 2020, the first ERAvsCorona Action Plan, supported by the Ministers responsible for research and innovation, was published. The action plan identifies 10 short-term priority actions, based on dialogues between the Commission Services and National Ministries.</w:t>
      </w:r>
      <w:r w:rsidRPr="0042743A">
        <w:rPr>
          <w:rStyle w:val="FootnoteReference"/>
        </w:rPr>
        <w:footnoteReference w:id="6"/>
      </w:r>
      <w:r w:rsidRPr="0042743A">
        <w:t xml:space="preserve"> Several of the actions refer to the need to increase the funding dedicated to e COVID-19 projects. It is in this context that the ad hoc working group of MS agreed to create a “Financing sub-group”. The remaining three sub-groups will address issues related to clinical trials, manufacturing, and testing.  </w:t>
      </w:r>
    </w:p>
    <w:p w14:paraId="45239E49" w14:textId="77777777" w:rsidR="00F42FED" w:rsidRPr="0042743A" w:rsidRDefault="00F42FED" w:rsidP="00F42FED">
      <w:pPr>
        <w:jc w:val="both"/>
        <w:rPr>
          <w:b/>
        </w:rPr>
      </w:pPr>
      <w:r w:rsidRPr="0042743A">
        <w:rPr>
          <w:b/>
        </w:rPr>
        <w:t>Membership</w:t>
      </w:r>
    </w:p>
    <w:p w14:paraId="027C1DDB" w14:textId="1BE22217" w:rsidR="00F42FED" w:rsidRPr="0042743A" w:rsidRDefault="00F42FED" w:rsidP="00F42FED">
      <w:pPr>
        <w:jc w:val="both"/>
      </w:pPr>
      <w:r w:rsidRPr="0042743A">
        <w:t>Members of the Financing sub-group are appointed representatives from the</w:t>
      </w:r>
      <w:r w:rsidR="00DC5A74">
        <w:t xml:space="preserve"> </w:t>
      </w:r>
      <w:r w:rsidRPr="0042743A">
        <w:t xml:space="preserve">Member States. In addition, representatives from DG </w:t>
      </w:r>
      <w:r w:rsidR="00DC5A74">
        <w:t>R&amp;I</w:t>
      </w:r>
      <w:r w:rsidRPr="0042743A">
        <w:t>, DG SANTE and the European Investment Bank are included.</w:t>
      </w:r>
    </w:p>
    <w:p w14:paraId="6E920B09" w14:textId="77777777" w:rsidR="00F42FED" w:rsidRPr="0042743A" w:rsidRDefault="00F42FED" w:rsidP="00F42FED">
      <w:pPr>
        <w:jc w:val="both"/>
      </w:pPr>
      <w:r w:rsidRPr="0042743A">
        <w:t>National Promotional Banks and Institutions may be invited to participate in the sub-group meetings and discussions as observers.</w:t>
      </w:r>
    </w:p>
    <w:p w14:paraId="73BE461D" w14:textId="4D428A9F" w:rsidR="00F42FED" w:rsidRPr="0042743A" w:rsidRDefault="00F42FED" w:rsidP="00F42FED">
      <w:pPr>
        <w:jc w:val="both"/>
      </w:pPr>
      <w:r w:rsidRPr="0042743A">
        <w:t xml:space="preserve">The Financing sub-group is coordinated by DG </w:t>
      </w:r>
      <w:r w:rsidR="00DC5A74">
        <w:t>R&amp;I</w:t>
      </w:r>
      <w:r w:rsidRPr="0042743A">
        <w:t>.</w:t>
      </w:r>
    </w:p>
    <w:p w14:paraId="6594C264" w14:textId="77777777" w:rsidR="00F42FED" w:rsidRPr="0042743A" w:rsidRDefault="00F42FED" w:rsidP="00F42FED">
      <w:pPr>
        <w:jc w:val="both"/>
        <w:rPr>
          <w:b/>
        </w:rPr>
      </w:pPr>
      <w:r w:rsidRPr="0042743A">
        <w:rPr>
          <w:b/>
        </w:rPr>
        <w:t>Purpose and objectives</w:t>
      </w:r>
    </w:p>
    <w:p w14:paraId="16F259E9" w14:textId="77777777" w:rsidR="00F42FED" w:rsidRPr="0042743A" w:rsidRDefault="00F42FED" w:rsidP="00F42FED">
      <w:pPr>
        <w:jc w:val="both"/>
      </w:pPr>
      <w:r w:rsidRPr="0042743A">
        <w:t>The overall purpose of the Financing sub-group is to ensure an increased support to innovative companies developing COVID-19 related solutions, in particular for the development of vaccines and production facilities. In this regard, the following specific objectives are defined:</w:t>
      </w:r>
    </w:p>
    <w:p w14:paraId="6A70027A" w14:textId="77777777" w:rsidR="00F42FED" w:rsidRPr="0042743A" w:rsidRDefault="00F42FED" w:rsidP="00F42FED">
      <w:pPr>
        <w:pStyle w:val="ListParagraph"/>
        <w:numPr>
          <w:ilvl w:val="0"/>
          <w:numId w:val="4"/>
        </w:numPr>
        <w:spacing w:after="200" w:line="276" w:lineRule="auto"/>
        <w:jc w:val="both"/>
      </w:pPr>
      <w:r w:rsidRPr="0042743A">
        <w:t xml:space="preserve">To </w:t>
      </w:r>
      <w:r>
        <w:t xml:space="preserve"> identify the possibilities to expand the use of </w:t>
      </w:r>
      <w:r w:rsidRPr="0042743A">
        <w:t>R&amp;I financial instruments addressing COVID-19 related issues;</w:t>
      </w:r>
    </w:p>
    <w:p w14:paraId="661C036B" w14:textId="77777777" w:rsidR="00F42FED" w:rsidRPr="0042743A" w:rsidRDefault="00F42FED" w:rsidP="00F42FED">
      <w:pPr>
        <w:pStyle w:val="ListParagraph"/>
        <w:numPr>
          <w:ilvl w:val="0"/>
          <w:numId w:val="4"/>
        </w:numPr>
        <w:spacing w:after="200" w:line="276" w:lineRule="auto"/>
        <w:jc w:val="both"/>
      </w:pPr>
      <w:r w:rsidRPr="0042743A">
        <w:t>To examine the possibilities enabled by the Temporary State Aid Framework and other flexible arrangements for dedicating other funding sources to R&amp;I COVID-19 actions;</w:t>
      </w:r>
    </w:p>
    <w:p w14:paraId="5BBC1ECC" w14:textId="77777777" w:rsidR="00F42FED" w:rsidRPr="0042743A" w:rsidRDefault="00F42FED" w:rsidP="00F42FED">
      <w:pPr>
        <w:pStyle w:val="ListParagraph"/>
        <w:numPr>
          <w:ilvl w:val="0"/>
          <w:numId w:val="4"/>
        </w:numPr>
        <w:spacing w:after="200" w:line="276" w:lineRule="auto"/>
        <w:jc w:val="both"/>
      </w:pPr>
      <w:r w:rsidRPr="0042743A">
        <w:t>To</w:t>
      </w:r>
      <w:r>
        <w:t xml:space="preserve"> explore</w:t>
      </w:r>
      <w:r w:rsidRPr="0042743A">
        <w:t xml:space="preserve"> </w:t>
      </w:r>
      <w:r w:rsidRPr="00235DA8">
        <w:t>avenues</w:t>
      </w:r>
      <w:r w:rsidRPr="0042743A">
        <w:t xml:space="preserve"> for joint COVID-19 response between the EU and national level vis-à-vis funding the development of vaccines and production facilities.</w:t>
      </w:r>
    </w:p>
    <w:p w14:paraId="5AF66CC5" w14:textId="3999688C" w:rsidR="00F42FED" w:rsidRPr="0042743A" w:rsidRDefault="00F42FED" w:rsidP="00F42FED">
      <w:pPr>
        <w:jc w:val="both"/>
        <w:rPr>
          <w:b/>
        </w:rPr>
      </w:pPr>
      <w:r w:rsidRPr="0042743A">
        <w:rPr>
          <w:b/>
        </w:rPr>
        <w:t>Functioning</w:t>
      </w:r>
      <w:r w:rsidR="00DC5A74">
        <w:rPr>
          <w:b/>
        </w:rPr>
        <w:t xml:space="preserve"> and timeframe</w:t>
      </w:r>
    </w:p>
    <w:p w14:paraId="3AB7BAA7" w14:textId="0CCCCD6E" w:rsidR="00F42FED" w:rsidRPr="0042743A" w:rsidRDefault="00F42FED" w:rsidP="00F42FED">
      <w:pPr>
        <w:jc w:val="both"/>
      </w:pPr>
      <w:r w:rsidRPr="0042743A">
        <w:t xml:space="preserve">The Financing sub-group will communicate mainly through e-mail exchange; a document-sharing platform may be made available. As relevant, (virtual) meetings will be organised. The sub-group will report to the </w:t>
      </w:r>
      <w:r w:rsidRPr="0042743A">
        <w:rPr>
          <w:i/>
        </w:rPr>
        <w:t>ad hoc</w:t>
      </w:r>
      <w:r w:rsidRPr="0042743A">
        <w:t xml:space="preserve"> working group on regular basis. </w:t>
      </w:r>
    </w:p>
    <w:p w14:paraId="35806086" w14:textId="59EE45A7" w:rsidR="00F42FED" w:rsidRDefault="00F42FED" w:rsidP="00F42FED">
      <w:pPr>
        <w:jc w:val="both"/>
      </w:pPr>
      <w:r w:rsidRPr="0042743A">
        <w:t>As needed, external experts may be consulted to provide support for specific issues.</w:t>
      </w:r>
      <w:r>
        <w:t xml:space="preserve"> </w:t>
      </w:r>
    </w:p>
    <w:p w14:paraId="3FF30697" w14:textId="3D5B09F0" w:rsidR="00DC5A74" w:rsidRDefault="00DC5A74" w:rsidP="00DC5A74">
      <w:pPr>
        <w:jc w:val="both"/>
      </w:pPr>
      <w:r>
        <w:t>The financing sub-group is established for the duration of the COVID-19 pandemic response.</w:t>
      </w:r>
    </w:p>
    <w:p w14:paraId="24F30777" w14:textId="77777777" w:rsidR="00DC5A74" w:rsidRDefault="00DC5A74" w:rsidP="00F42FED">
      <w:pPr>
        <w:jc w:val="both"/>
      </w:pPr>
    </w:p>
    <w:sectPr w:rsidR="00DC5A7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12EF" w14:textId="77777777" w:rsidR="00714BAC" w:rsidRDefault="00714BAC" w:rsidP="00487A7D">
      <w:pPr>
        <w:spacing w:after="0" w:line="240" w:lineRule="auto"/>
      </w:pPr>
      <w:r>
        <w:separator/>
      </w:r>
    </w:p>
  </w:endnote>
  <w:endnote w:type="continuationSeparator" w:id="0">
    <w:p w14:paraId="6D599A29" w14:textId="77777777" w:rsidR="00714BAC" w:rsidRDefault="00714BAC" w:rsidP="0048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073578"/>
      <w:docPartObj>
        <w:docPartGallery w:val="Page Numbers (Bottom of Page)"/>
        <w:docPartUnique/>
      </w:docPartObj>
    </w:sdtPr>
    <w:sdtEndPr>
      <w:rPr>
        <w:noProof/>
      </w:rPr>
    </w:sdtEndPr>
    <w:sdtContent>
      <w:p w14:paraId="7704B35B" w14:textId="7AF017E0" w:rsidR="00487A7D" w:rsidRDefault="00487A7D">
        <w:pPr>
          <w:pStyle w:val="Footer"/>
          <w:jc w:val="center"/>
        </w:pPr>
        <w:r>
          <w:fldChar w:fldCharType="begin"/>
        </w:r>
        <w:r>
          <w:instrText xml:space="preserve"> PAGE   \* MERGEFORMAT </w:instrText>
        </w:r>
        <w:r>
          <w:fldChar w:fldCharType="separate"/>
        </w:r>
        <w:r w:rsidR="0044665D">
          <w:rPr>
            <w:noProof/>
          </w:rPr>
          <w:t>1</w:t>
        </w:r>
        <w:r>
          <w:rPr>
            <w:noProof/>
          </w:rPr>
          <w:fldChar w:fldCharType="end"/>
        </w:r>
      </w:p>
    </w:sdtContent>
  </w:sdt>
  <w:p w14:paraId="0D43E81B" w14:textId="77777777" w:rsidR="00487A7D" w:rsidRDefault="0048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34A8" w14:textId="77777777" w:rsidR="00714BAC" w:rsidRDefault="00714BAC" w:rsidP="00487A7D">
      <w:pPr>
        <w:spacing w:after="0" w:line="240" w:lineRule="auto"/>
      </w:pPr>
      <w:r>
        <w:separator/>
      </w:r>
    </w:p>
  </w:footnote>
  <w:footnote w:type="continuationSeparator" w:id="0">
    <w:p w14:paraId="688DFA57" w14:textId="77777777" w:rsidR="00714BAC" w:rsidRDefault="00714BAC" w:rsidP="00487A7D">
      <w:pPr>
        <w:spacing w:after="0" w:line="240" w:lineRule="auto"/>
      </w:pPr>
      <w:r>
        <w:continuationSeparator/>
      </w:r>
    </w:p>
  </w:footnote>
  <w:footnote w:id="1">
    <w:p w14:paraId="21BC6B76" w14:textId="6B185BCC" w:rsidR="004751AE" w:rsidRPr="00B12D44" w:rsidRDefault="004751AE">
      <w:pPr>
        <w:pStyle w:val="FootnoteText"/>
        <w:rPr>
          <w:lang w:val="en-US"/>
        </w:rPr>
      </w:pPr>
      <w:r>
        <w:rPr>
          <w:rStyle w:val="FootnoteReference"/>
        </w:rPr>
        <w:footnoteRef/>
      </w:r>
      <w:r>
        <w:t xml:space="preserve"> </w:t>
      </w:r>
      <w:r w:rsidR="008F55C5" w:rsidRPr="00B12D44">
        <w:rPr>
          <w:rFonts w:cstheme="minorHAnsi"/>
          <w:lang w:val="en-IE"/>
        </w:rPr>
        <w:t>T</w:t>
      </w:r>
      <w:r w:rsidRPr="00B12D44">
        <w:rPr>
          <w:rFonts w:cstheme="minorHAnsi"/>
          <w:lang w:val="en-IE"/>
        </w:rPr>
        <w:t>hree associated countries were also invited: N</w:t>
      </w:r>
      <w:r w:rsidR="008F55C5" w:rsidRPr="00B12D44">
        <w:rPr>
          <w:rFonts w:cstheme="minorHAnsi"/>
          <w:lang w:val="en-IE"/>
        </w:rPr>
        <w:t>orway</w:t>
      </w:r>
      <w:r w:rsidRPr="00B12D44">
        <w:rPr>
          <w:rFonts w:cstheme="minorHAnsi"/>
          <w:lang w:val="en-IE"/>
        </w:rPr>
        <w:t>, I</w:t>
      </w:r>
      <w:r w:rsidR="008F55C5" w:rsidRPr="00B12D44">
        <w:rPr>
          <w:rFonts w:cstheme="minorHAnsi"/>
          <w:lang w:val="en-IE"/>
        </w:rPr>
        <w:t>celand</w:t>
      </w:r>
      <w:r>
        <w:rPr>
          <w:rFonts w:cstheme="minorHAnsi"/>
          <w:lang w:val="en-IE"/>
        </w:rPr>
        <w:t xml:space="preserve"> and </w:t>
      </w:r>
      <w:r w:rsidR="008F55C5">
        <w:rPr>
          <w:rFonts w:cstheme="minorHAnsi"/>
          <w:lang w:val="en-IE"/>
        </w:rPr>
        <w:t>Switzerland</w:t>
      </w:r>
      <w:r w:rsidR="004C2863">
        <w:rPr>
          <w:rFonts w:cstheme="minorHAnsi"/>
          <w:lang w:val="en-IE"/>
        </w:rPr>
        <w:t>; when referring to the Member States in the rest of this document, these three associated countries are included.</w:t>
      </w:r>
    </w:p>
  </w:footnote>
  <w:footnote w:id="2">
    <w:p w14:paraId="4C2F5B8F" w14:textId="77777777" w:rsidR="007D015A" w:rsidRPr="00B12D44" w:rsidRDefault="007D015A" w:rsidP="007D015A">
      <w:pPr>
        <w:pStyle w:val="FootnoteText"/>
        <w:rPr>
          <w:lang w:val="en-US"/>
        </w:rPr>
      </w:pPr>
      <w:r>
        <w:rPr>
          <w:rStyle w:val="FootnoteReference"/>
        </w:rPr>
        <w:footnoteRef/>
      </w:r>
      <w:hyperlink r:id="rId1" w:history="1">
        <w:r w:rsidRPr="00B12D44">
          <w:rPr>
            <w:rStyle w:val="Hyperlink"/>
            <w:lang w:val="en-US"/>
          </w:rPr>
          <w:t>https://ec.europa.eu/info/sites/info/files/research_and_innovation/research_by_area/documents/ec_rtd_era-vs-corona_0.pdf</w:t>
        </w:r>
      </w:hyperlink>
      <w:r w:rsidRPr="00B12D44">
        <w:rPr>
          <w:lang w:val="en-US"/>
        </w:rPr>
        <w:t xml:space="preserve">  </w:t>
      </w:r>
    </w:p>
  </w:footnote>
  <w:footnote w:id="3">
    <w:p w14:paraId="6B86BC34" w14:textId="77777777" w:rsidR="00901302" w:rsidRPr="00B12D44" w:rsidRDefault="00901302" w:rsidP="00901302">
      <w:pPr>
        <w:pStyle w:val="FootnoteText"/>
        <w:rPr>
          <w:lang w:val="en-US"/>
        </w:rPr>
      </w:pPr>
      <w:r>
        <w:rPr>
          <w:rStyle w:val="FootnoteReference"/>
        </w:rPr>
        <w:footnoteRef/>
      </w:r>
      <w:hyperlink r:id="rId2" w:history="1">
        <w:r w:rsidRPr="00B12D44">
          <w:rPr>
            <w:rStyle w:val="Hyperlink"/>
            <w:lang w:val="en-US"/>
          </w:rPr>
          <w:t>https://ec.europa.eu/info/sites/info/files/research_and_innovation/research_by_area/documents/ec_rtd_era-vs-corona_0.pdf</w:t>
        </w:r>
      </w:hyperlink>
      <w:r w:rsidRPr="00B12D44">
        <w:rPr>
          <w:lang w:val="en-US"/>
        </w:rPr>
        <w:t xml:space="preserve">  </w:t>
      </w:r>
    </w:p>
  </w:footnote>
  <w:footnote w:id="4">
    <w:p w14:paraId="5AB82D66" w14:textId="77777777" w:rsidR="00901302" w:rsidRPr="00B12D44" w:rsidRDefault="00901302" w:rsidP="00901302">
      <w:pPr>
        <w:pStyle w:val="FootnoteText"/>
        <w:rPr>
          <w:lang w:val="en-US"/>
        </w:rPr>
      </w:pPr>
      <w:r>
        <w:rPr>
          <w:rStyle w:val="FootnoteReference"/>
        </w:rPr>
        <w:footnoteRef/>
      </w:r>
      <w:r w:rsidRPr="00B12D44">
        <w:rPr>
          <w:lang w:val="en-US"/>
        </w:rPr>
        <w:t>https://ec.europa.eu/info/sites/info/files/research_and_innovation/research_by_area/documents/ec_rtd_era-vs-corona_0.pdf</w:t>
      </w:r>
    </w:p>
  </w:footnote>
  <w:footnote w:id="5">
    <w:p w14:paraId="66B291FF" w14:textId="77777777" w:rsidR="00901302" w:rsidRPr="00B12D44" w:rsidRDefault="00901302" w:rsidP="00901302">
      <w:pPr>
        <w:pStyle w:val="FootnoteText"/>
        <w:ind w:left="709" w:hanging="709"/>
        <w:rPr>
          <w:lang w:val="en-US"/>
        </w:rPr>
      </w:pPr>
      <w:r>
        <w:rPr>
          <w:rStyle w:val="FootnoteReference"/>
        </w:rPr>
        <w:footnoteRef/>
      </w:r>
      <w:r w:rsidRPr="00B12D44">
        <w:rPr>
          <w:lang w:val="en-US"/>
        </w:rPr>
        <w:t xml:space="preserve"> https://ec.europa.eu/info/sites/info/files/testing_kits_communication.pdf</w:t>
      </w:r>
    </w:p>
  </w:footnote>
  <w:footnote w:id="6">
    <w:p w14:paraId="1CBFD77A" w14:textId="77777777" w:rsidR="00F42FED" w:rsidRPr="00B12D44" w:rsidRDefault="00F42FED" w:rsidP="00F42FED">
      <w:pPr>
        <w:pStyle w:val="FootnoteText"/>
        <w:rPr>
          <w:lang w:val="en-US"/>
        </w:rPr>
      </w:pPr>
      <w:r>
        <w:rPr>
          <w:rStyle w:val="FootnoteReference"/>
        </w:rPr>
        <w:footnoteRef/>
      </w:r>
      <w:hyperlink r:id="rId3" w:history="1">
        <w:r w:rsidRPr="00B12D44">
          <w:rPr>
            <w:rStyle w:val="Hyperlink"/>
            <w:lang w:val="en-US"/>
          </w:rPr>
          <w:t>https://ec.europa.eu/info/sites/info/files/research_and_innovation/research_by_area/documents/ec_rtd_era-vs-corona_0.pdf</w:t>
        </w:r>
      </w:hyperlink>
      <w:r w:rsidRPr="00B12D44">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4FD"/>
    <w:multiLevelType w:val="hybridMultilevel"/>
    <w:tmpl w:val="0FC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39EF"/>
    <w:multiLevelType w:val="hybridMultilevel"/>
    <w:tmpl w:val="A378D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B72A0"/>
    <w:multiLevelType w:val="hybridMultilevel"/>
    <w:tmpl w:val="88FA6E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2E22"/>
    <w:multiLevelType w:val="hybridMultilevel"/>
    <w:tmpl w:val="323EF9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645073"/>
    <w:multiLevelType w:val="hybridMultilevel"/>
    <w:tmpl w:val="46ACC8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347CF"/>
    <w:multiLevelType w:val="hybridMultilevel"/>
    <w:tmpl w:val="1C567442"/>
    <w:lvl w:ilvl="0" w:tplc="BF8001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F7F58"/>
    <w:multiLevelType w:val="hybridMultilevel"/>
    <w:tmpl w:val="3F3E8F68"/>
    <w:lvl w:ilvl="0" w:tplc="0EBA5E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D0545"/>
    <w:multiLevelType w:val="hybridMultilevel"/>
    <w:tmpl w:val="E77AB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C4D50"/>
    <w:multiLevelType w:val="hybridMultilevel"/>
    <w:tmpl w:val="755A60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A5061"/>
    <w:multiLevelType w:val="hybridMultilevel"/>
    <w:tmpl w:val="7A4AD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74226"/>
    <w:multiLevelType w:val="hybridMultilevel"/>
    <w:tmpl w:val="F07C8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42700"/>
    <w:multiLevelType w:val="hybridMultilevel"/>
    <w:tmpl w:val="36B636FE"/>
    <w:lvl w:ilvl="0" w:tplc="54604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14333A"/>
    <w:multiLevelType w:val="hybridMultilevel"/>
    <w:tmpl w:val="F73E8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94D65"/>
    <w:multiLevelType w:val="hybridMultilevel"/>
    <w:tmpl w:val="DFF69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87905"/>
    <w:multiLevelType w:val="hybridMultilevel"/>
    <w:tmpl w:val="84C02EFC"/>
    <w:lvl w:ilvl="0" w:tplc="ADDC6C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7"/>
  </w:num>
  <w:num w:numId="5">
    <w:abstractNumId w:val="8"/>
  </w:num>
  <w:num w:numId="6">
    <w:abstractNumId w:val="10"/>
  </w:num>
  <w:num w:numId="7">
    <w:abstractNumId w:val="5"/>
  </w:num>
  <w:num w:numId="8">
    <w:abstractNumId w:val="4"/>
  </w:num>
  <w:num w:numId="9">
    <w:abstractNumId w:val="14"/>
  </w:num>
  <w:num w:numId="10">
    <w:abstractNumId w:val="0"/>
  </w:num>
  <w:num w:numId="11">
    <w:abstractNumId w:val="12"/>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9A"/>
    <w:rsid w:val="000053FE"/>
    <w:rsid w:val="000530F6"/>
    <w:rsid w:val="00073C71"/>
    <w:rsid w:val="00133815"/>
    <w:rsid w:val="0019590A"/>
    <w:rsid w:val="001C071C"/>
    <w:rsid w:val="001D162B"/>
    <w:rsid w:val="001E6CBE"/>
    <w:rsid w:val="00206571"/>
    <w:rsid w:val="002B3229"/>
    <w:rsid w:val="002C1330"/>
    <w:rsid w:val="00352CEB"/>
    <w:rsid w:val="003848E3"/>
    <w:rsid w:val="0038728E"/>
    <w:rsid w:val="00387986"/>
    <w:rsid w:val="003B6DAA"/>
    <w:rsid w:val="003C6260"/>
    <w:rsid w:val="003F1D99"/>
    <w:rsid w:val="00442395"/>
    <w:rsid w:val="0044665D"/>
    <w:rsid w:val="004751AE"/>
    <w:rsid w:val="00476FDE"/>
    <w:rsid w:val="00487803"/>
    <w:rsid w:val="00487A7D"/>
    <w:rsid w:val="0049711A"/>
    <w:rsid w:val="004B0D9E"/>
    <w:rsid w:val="004C2863"/>
    <w:rsid w:val="005077C3"/>
    <w:rsid w:val="00580A18"/>
    <w:rsid w:val="005B10DC"/>
    <w:rsid w:val="005B7A15"/>
    <w:rsid w:val="005D1C8C"/>
    <w:rsid w:val="005E4C9A"/>
    <w:rsid w:val="005F19B0"/>
    <w:rsid w:val="00630298"/>
    <w:rsid w:val="006502C0"/>
    <w:rsid w:val="00685D69"/>
    <w:rsid w:val="00696D3B"/>
    <w:rsid w:val="006A1452"/>
    <w:rsid w:val="006C0845"/>
    <w:rsid w:val="006D1025"/>
    <w:rsid w:val="006E6842"/>
    <w:rsid w:val="00714BAC"/>
    <w:rsid w:val="00733591"/>
    <w:rsid w:val="007368B9"/>
    <w:rsid w:val="007605AE"/>
    <w:rsid w:val="00772C51"/>
    <w:rsid w:val="007C17F7"/>
    <w:rsid w:val="007C2E6C"/>
    <w:rsid w:val="007D015A"/>
    <w:rsid w:val="007E63AE"/>
    <w:rsid w:val="008929A4"/>
    <w:rsid w:val="008A5E4E"/>
    <w:rsid w:val="008B6A7E"/>
    <w:rsid w:val="008D3DD0"/>
    <w:rsid w:val="008F55C5"/>
    <w:rsid w:val="00901302"/>
    <w:rsid w:val="00921197"/>
    <w:rsid w:val="009B5674"/>
    <w:rsid w:val="009C4B94"/>
    <w:rsid w:val="009C5C67"/>
    <w:rsid w:val="009C5F09"/>
    <w:rsid w:val="009D3508"/>
    <w:rsid w:val="009F0FD2"/>
    <w:rsid w:val="00A546C9"/>
    <w:rsid w:val="00A659AB"/>
    <w:rsid w:val="00A75C74"/>
    <w:rsid w:val="00A82CCE"/>
    <w:rsid w:val="00A91D0D"/>
    <w:rsid w:val="00A97D20"/>
    <w:rsid w:val="00AA38C9"/>
    <w:rsid w:val="00AA545C"/>
    <w:rsid w:val="00AB1BD6"/>
    <w:rsid w:val="00AD5A80"/>
    <w:rsid w:val="00B068B7"/>
    <w:rsid w:val="00B12D44"/>
    <w:rsid w:val="00B23F9E"/>
    <w:rsid w:val="00B536CC"/>
    <w:rsid w:val="00B76872"/>
    <w:rsid w:val="00B87809"/>
    <w:rsid w:val="00BA5246"/>
    <w:rsid w:val="00BB53D2"/>
    <w:rsid w:val="00BC18EC"/>
    <w:rsid w:val="00BC5287"/>
    <w:rsid w:val="00BE6976"/>
    <w:rsid w:val="00C00624"/>
    <w:rsid w:val="00C145DD"/>
    <w:rsid w:val="00C1726F"/>
    <w:rsid w:val="00C67FFB"/>
    <w:rsid w:val="00CB1F57"/>
    <w:rsid w:val="00CD6B42"/>
    <w:rsid w:val="00CE415A"/>
    <w:rsid w:val="00D046D2"/>
    <w:rsid w:val="00D71F68"/>
    <w:rsid w:val="00D83744"/>
    <w:rsid w:val="00DC5A74"/>
    <w:rsid w:val="00DD7C98"/>
    <w:rsid w:val="00DE5734"/>
    <w:rsid w:val="00E328E1"/>
    <w:rsid w:val="00E42BB5"/>
    <w:rsid w:val="00EA213B"/>
    <w:rsid w:val="00EE3A51"/>
    <w:rsid w:val="00F42FED"/>
    <w:rsid w:val="00F43880"/>
    <w:rsid w:val="00F52923"/>
    <w:rsid w:val="00F57B91"/>
    <w:rsid w:val="00F83F0E"/>
    <w:rsid w:val="00FA5023"/>
    <w:rsid w:val="00FE3147"/>
    <w:rsid w:val="00FE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D777"/>
  <w15:chartTrackingRefBased/>
  <w15:docId w15:val="{B165F21A-B813-4FC2-B707-BB0F0A05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8EC"/>
    <w:rPr>
      <w:color w:val="0563C1"/>
      <w:u w:val="single"/>
    </w:rPr>
  </w:style>
  <w:style w:type="paragraph" w:styleId="ListParagraph">
    <w:name w:val="List Paragraph"/>
    <w:basedOn w:val="Normal"/>
    <w:uiPriority w:val="34"/>
    <w:qFormat/>
    <w:rsid w:val="00B068B7"/>
    <w:pPr>
      <w:ind w:left="720"/>
      <w:contextualSpacing/>
    </w:pPr>
  </w:style>
  <w:style w:type="paragraph" w:styleId="BalloonText">
    <w:name w:val="Balloon Text"/>
    <w:basedOn w:val="Normal"/>
    <w:link w:val="BalloonTextChar"/>
    <w:uiPriority w:val="99"/>
    <w:semiHidden/>
    <w:unhideWhenUsed/>
    <w:rsid w:val="00E32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E1"/>
    <w:rPr>
      <w:rFonts w:ascii="Segoe UI" w:hAnsi="Segoe UI" w:cs="Segoe UI"/>
      <w:sz w:val="18"/>
      <w:szCs w:val="18"/>
    </w:rPr>
  </w:style>
  <w:style w:type="character" w:styleId="CommentReference">
    <w:name w:val="annotation reference"/>
    <w:basedOn w:val="DefaultParagraphFont"/>
    <w:uiPriority w:val="99"/>
    <w:semiHidden/>
    <w:unhideWhenUsed/>
    <w:rsid w:val="005B10DC"/>
    <w:rPr>
      <w:sz w:val="16"/>
      <w:szCs w:val="16"/>
    </w:rPr>
  </w:style>
  <w:style w:type="paragraph" w:styleId="CommentText">
    <w:name w:val="annotation text"/>
    <w:basedOn w:val="Normal"/>
    <w:link w:val="CommentTextChar"/>
    <w:uiPriority w:val="99"/>
    <w:semiHidden/>
    <w:unhideWhenUsed/>
    <w:rsid w:val="005B10DC"/>
    <w:pPr>
      <w:spacing w:line="240" w:lineRule="auto"/>
    </w:pPr>
    <w:rPr>
      <w:sz w:val="20"/>
      <w:szCs w:val="20"/>
    </w:rPr>
  </w:style>
  <w:style w:type="character" w:customStyle="1" w:styleId="CommentTextChar">
    <w:name w:val="Comment Text Char"/>
    <w:basedOn w:val="DefaultParagraphFont"/>
    <w:link w:val="CommentText"/>
    <w:uiPriority w:val="99"/>
    <w:semiHidden/>
    <w:rsid w:val="005B10DC"/>
    <w:rPr>
      <w:sz w:val="20"/>
      <w:szCs w:val="20"/>
    </w:rPr>
  </w:style>
  <w:style w:type="paragraph" w:styleId="CommentSubject">
    <w:name w:val="annotation subject"/>
    <w:basedOn w:val="CommentText"/>
    <w:next w:val="CommentText"/>
    <w:link w:val="CommentSubjectChar"/>
    <w:uiPriority w:val="99"/>
    <w:semiHidden/>
    <w:unhideWhenUsed/>
    <w:rsid w:val="005B10DC"/>
    <w:rPr>
      <w:b/>
      <w:bCs/>
    </w:rPr>
  </w:style>
  <w:style w:type="character" w:customStyle="1" w:styleId="CommentSubjectChar">
    <w:name w:val="Comment Subject Char"/>
    <w:basedOn w:val="CommentTextChar"/>
    <w:link w:val="CommentSubject"/>
    <w:uiPriority w:val="99"/>
    <w:semiHidden/>
    <w:rsid w:val="005B10DC"/>
    <w:rPr>
      <w:b/>
      <w:bCs/>
      <w:sz w:val="20"/>
      <w:szCs w:val="20"/>
    </w:rPr>
  </w:style>
  <w:style w:type="paragraph" w:styleId="Header">
    <w:name w:val="header"/>
    <w:basedOn w:val="Normal"/>
    <w:link w:val="HeaderChar"/>
    <w:uiPriority w:val="99"/>
    <w:unhideWhenUsed/>
    <w:rsid w:val="00487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A7D"/>
  </w:style>
  <w:style w:type="paragraph" w:styleId="Footer">
    <w:name w:val="footer"/>
    <w:basedOn w:val="Normal"/>
    <w:link w:val="FooterChar"/>
    <w:uiPriority w:val="99"/>
    <w:unhideWhenUsed/>
    <w:rsid w:val="00487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A7D"/>
  </w:style>
  <w:style w:type="paragraph" w:styleId="FootnoteText">
    <w:name w:val="footnote text"/>
    <w:basedOn w:val="Normal"/>
    <w:link w:val="FootnoteTextChar"/>
    <w:uiPriority w:val="99"/>
    <w:semiHidden/>
    <w:unhideWhenUsed/>
    <w:rsid w:val="007D0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15A"/>
    <w:rPr>
      <w:sz w:val="20"/>
      <w:szCs w:val="20"/>
    </w:rPr>
  </w:style>
  <w:style w:type="character" w:styleId="FootnoteReference">
    <w:name w:val="footnote reference"/>
    <w:basedOn w:val="DefaultParagraphFont"/>
    <w:uiPriority w:val="99"/>
    <w:semiHidden/>
    <w:unhideWhenUsed/>
    <w:rsid w:val="007D0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research_and_innovation/research_by_area/documents/ec_rtd_era-vs-corona_0.pdf" TargetMode="External"/><Relationship Id="rId2" Type="http://schemas.openxmlformats.org/officeDocument/2006/relationships/hyperlink" Target="https://ec.europa.eu/info/sites/info/files/research_and_innovation/research_by_area/documents/ec_rtd_era-vs-corona_0.pdf" TargetMode="External"/><Relationship Id="rId1" Type="http://schemas.openxmlformats.org/officeDocument/2006/relationships/hyperlink" Target="https://ec.europa.eu/info/sites/info/files/research_and_innovation/research_by_area/documents/ec_rtd_era-vs-corona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68E8EF2FD6440964A8EB140379F31" ma:contentTypeVersion="1" ma:contentTypeDescription="Create a new document." ma:contentTypeScope="" ma:versionID="42c39b1ad6895367d7f7f19a28b500a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7A85-0E06-41B0-A056-61F41599EC19}">
  <ds:schemaRefs>
    <ds:schemaRef ds:uri="http://schemas.microsoft.com/sharepoint/v3/contenttype/forms"/>
  </ds:schemaRefs>
</ds:datastoreItem>
</file>

<file path=customXml/itemProps2.xml><?xml version="1.0" encoding="utf-8"?>
<ds:datastoreItem xmlns:ds="http://schemas.openxmlformats.org/officeDocument/2006/customXml" ds:itemID="{A8F24D63-0419-46FE-8D0B-1561D4555D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E50A54-1AEA-4FD7-AD15-06ED77D8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9AF42-71D9-4F6E-9596-211CBAF1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2178</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SCHODER-KIENBECK Marlene (RTD)</dc:creator>
  <cp:keywords/>
  <dc:description/>
  <cp:lastModifiedBy>NEVE DE MEVERGNIES Amaury (RTD)</cp:lastModifiedBy>
  <cp:revision>8</cp:revision>
  <dcterms:created xsi:type="dcterms:W3CDTF">2020-05-12T17:27:00Z</dcterms:created>
  <dcterms:modified xsi:type="dcterms:W3CDTF">2020-05-12T19:05:00Z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0x010100E0A68E8EF2FD6440964A8EB140379F31</vt:lpwstr>
  </property>
</Properties>
</file>