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1E0" w:firstRow="1" w:lastRow="1" w:firstColumn="1" w:lastColumn="1" w:noHBand="0" w:noVBand="0"/>
      </w:tblPr>
      <w:tblGrid>
        <w:gridCol w:w="4644"/>
        <w:gridCol w:w="4599"/>
        <w:gridCol w:w="46"/>
      </w:tblGrid>
      <w:tr w:rsidR="00600674" w:rsidRPr="003E3323" w14:paraId="3253523F" w14:textId="77777777" w:rsidTr="009914FA">
        <w:tc>
          <w:tcPr>
            <w:tcW w:w="4644" w:type="dxa"/>
          </w:tcPr>
          <w:p w14:paraId="253DBC23" w14:textId="7DD8D52A" w:rsidR="00600674" w:rsidRPr="003E3323" w:rsidRDefault="009F6390" w:rsidP="009A68ED">
            <w:pPr>
              <w:tabs>
                <w:tab w:val="left" w:pos="974"/>
              </w:tabs>
              <w:overflowPunct/>
              <w:adjustRightInd/>
              <w:textAlignment w:val="auto"/>
              <w:rPr>
                <w:szCs w:val="22"/>
              </w:rPr>
            </w:pPr>
            <w:bookmarkStart w:id="0" w:name="_GoBack"/>
            <w:bookmarkEnd w:id="0"/>
            <w:r w:rsidRPr="003E3323">
              <w:rPr>
                <w:noProof/>
                <w:sz w:val="32"/>
                <w:lang w:val="nl-BE" w:eastAsia="nl-BE" w:bidi="ar-SA"/>
              </w:rPr>
              <w:drawing>
                <wp:inline distT="0" distB="0" distL="0" distR="0" wp14:anchorId="0E8BDF26" wp14:editId="541D29C9">
                  <wp:extent cx="1799590" cy="1558925"/>
                  <wp:effectExtent l="0" t="0" r="0" b="3175"/>
                  <wp:docPr id="1" name="Picture 1" title="CoRLogo_N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1799590" cy="1558925"/>
                          </a:xfrm>
                          <a:prstGeom prst="rect">
                            <a:avLst/>
                          </a:prstGeom>
                        </pic:spPr>
                      </pic:pic>
                    </a:graphicData>
                  </a:graphic>
                </wp:inline>
              </w:drawing>
            </w:r>
            <w:r w:rsidR="00BA6A23" w:rsidRPr="003E3323">
              <w:rPr>
                <w:noProof/>
                <w:szCs w:val="22"/>
                <w:lang w:val="nl-BE" w:eastAsia="nl-BE" w:bidi="ar-SA"/>
              </w:rPr>
              <w:drawing>
                <wp:anchor distT="0" distB="0" distL="114300" distR="114300" simplePos="0" relativeHeight="251661312" behindDoc="0" locked="0" layoutInCell="0" allowOverlap="0" wp14:anchorId="5B41ED18" wp14:editId="0276A199">
                  <wp:simplePos x="0" y="0"/>
                  <wp:positionH relativeFrom="margin">
                    <wp:posOffset>0</wp:posOffset>
                  </wp:positionH>
                  <wp:positionV relativeFrom="margin">
                    <wp:posOffset>9343390</wp:posOffset>
                  </wp:positionV>
                  <wp:extent cx="5760000" cy="266400"/>
                  <wp:effectExtent l="0" t="0" r="0" b="635"/>
                  <wp:wrapNone/>
                  <wp:docPr id="6" name="Picture 6" descr="C:\Users\mreg\Music\_New CoR logo\New LOGO CoR\Address\CoR letterhead top banner - address FR-N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reg\Music\_New CoR logo\New LOGO CoR\Address\CoR letterhead top banner - address FR-NL.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000" cy="2664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645" w:type="dxa"/>
            <w:gridSpan w:val="2"/>
          </w:tcPr>
          <w:p w14:paraId="4C674F20" w14:textId="77777777" w:rsidR="00600674" w:rsidRPr="003E3323" w:rsidRDefault="00600674" w:rsidP="009A68ED">
            <w:pPr>
              <w:overflowPunct/>
              <w:adjustRightInd/>
              <w:jc w:val="center"/>
              <w:textAlignment w:val="auto"/>
              <w:rPr>
                <w:szCs w:val="22"/>
              </w:rPr>
            </w:pPr>
          </w:p>
        </w:tc>
      </w:tr>
      <w:tr w:rsidR="00076622" w:rsidRPr="003E3323" w14:paraId="10C77347" w14:textId="77777777">
        <w:tblPrEx>
          <w:tblLook w:val="0000" w:firstRow="0" w:lastRow="0" w:firstColumn="0" w:lastColumn="0" w:noHBand="0" w:noVBand="0"/>
        </w:tblPrEx>
        <w:trPr>
          <w:gridAfter w:val="1"/>
          <w:wAfter w:w="46" w:type="dxa"/>
          <w:cantSplit/>
        </w:trPr>
        <w:tc>
          <w:tcPr>
            <w:tcW w:w="9243" w:type="dxa"/>
            <w:gridSpan w:val="2"/>
          </w:tcPr>
          <w:p w14:paraId="10C77346" w14:textId="7C1D4561" w:rsidR="00076622" w:rsidRPr="003E3323" w:rsidRDefault="00013E70" w:rsidP="009A68ED">
            <w:pPr>
              <w:overflowPunct/>
              <w:adjustRightInd/>
              <w:jc w:val="right"/>
              <w:textAlignment w:val="auto"/>
              <w:rPr>
                <w:b/>
                <w:bCs/>
                <w:sz w:val="28"/>
                <w:szCs w:val="28"/>
              </w:rPr>
            </w:pPr>
            <w:r w:rsidRPr="003E3323">
              <w:rPr>
                <w:b/>
                <w:sz w:val="28"/>
              </w:rPr>
              <w:t>COTER-VI/015</w:t>
            </w:r>
          </w:p>
        </w:tc>
      </w:tr>
      <w:tr w:rsidR="00076622" w:rsidRPr="003E3323" w14:paraId="10C77349" w14:textId="77777777">
        <w:tblPrEx>
          <w:tblLook w:val="0000" w:firstRow="0" w:lastRow="0" w:firstColumn="0" w:lastColumn="0" w:noHBand="0" w:noVBand="0"/>
        </w:tblPrEx>
        <w:trPr>
          <w:gridAfter w:val="1"/>
          <w:wAfter w:w="46" w:type="dxa"/>
          <w:cantSplit/>
        </w:trPr>
        <w:tc>
          <w:tcPr>
            <w:tcW w:w="9243" w:type="dxa"/>
            <w:gridSpan w:val="2"/>
          </w:tcPr>
          <w:p w14:paraId="10C77348" w14:textId="597E5EC2" w:rsidR="00076622" w:rsidRPr="003E3323" w:rsidRDefault="00826843" w:rsidP="009A68ED">
            <w:pPr>
              <w:overflowPunct/>
              <w:adjustRightInd/>
              <w:jc w:val="center"/>
              <w:textAlignment w:val="auto"/>
              <w:rPr>
                <w:b/>
                <w:bCs/>
                <w:sz w:val="28"/>
                <w:szCs w:val="28"/>
              </w:rPr>
            </w:pPr>
            <w:r w:rsidRPr="003E3323">
              <w:rPr>
                <w:b/>
                <w:sz w:val="28"/>
              </w:rPr>
              <w:t>123</w:t>
            </w:r>
            <w:r w:rsidRPr="003E3323">
              <w:rPr>
                <w:b/>
                <w:sz w:val="28"/>
                <w:vertAlign w:val="superscript"/>
              </w:rPr>
              <w:t>e</w:t>
            </w:r>
            <w:r w:rsidRPr="003E3323">
              <w:rPr>
                <w:b/>
                <w:sz w:val="28"/>
              </w:rPr>
              <w:t xml:space="preserve"> zitting, 11-12 mei 2017</w:t>
            </w:r>
          </w:p>
        </w:tc>
      </w:tr>
    </w:tbl>
    <w:p w14:paraId="10C7734C" w14:textId="6E6F6E26" w:rsidR="00076622" w:rsidRPr="003E3323" w:rsidRDefault="003F1851" w:rsidP="009A68ED">
      <w:pPr>
        <w:overflowPunct/>
        <w:adjustRightInd/>
        <w:textAlignment w:val="auto"/>
      </w:pPr>
      <w:r w:rsidRPr="003E3323">
        <w:rPr>
          <w:noProof/>
          <w:lang w:val="nl-BE" w:eastAsia="nl-BE" w:bidi="ar-SA"/>
        </w:rPr>
        <mc:AlternateContent>
          <mc:Choice Requires="wps">
            <w:drawing>
              <wp:anchor distT="0" distB="0" distL="114300" distR="114300" simplePos="0" relativeHeight="251659264" behindDoc="1" locked="0" layoutInCell="0" allowOverlap="1" wp14:anchorId="10C773BF" wp14:editId="12BAE43C">
                <wp:simplePos x="0" y="0"/>
                <wp:positionH relativeFrom="page">
                  <wp:posOffset>6769100</wp:posOffset>
                </wp:positionH>
                <wp:positionV relativeFrom="page">
                  <wp:posOffset>10081260</wp:posOffset>
                </wp:positionV>
                <wp:extent cx="647700" cy="39624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773CB" w14:textId="77777777" w:rsidR="009914FA" w:rsidRPr="009A68ED" w:rsidRDefault="009914FA" w:rsidP="009A68ED">
                            <w:pPr>
                              <w:overflowPunct/>
                              <w:adjustRightInd/>
                              <w:jc w:val="center"/>
                              <w:textAlignment w:val="auto"/>
                              <w:rPr>
                                <w:rFonts w:ascii="Arial" w:hAnsi="Arial" w:cs="Arial"/>
                                <w:b/>
                                <w:sz w:val="48"/>
                              </w:rPr>
                            </w:pPr>
                            <w:r>
                              <w:rPr>
                                <w:rFonts w:ascii="Arial" w:hAnsi="Arial"/>
                                <w:b/>
                                <w:sz w:val="48"/>
                              </w:rPr>
                              <w:t>NL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C773BF" id="_x0000_t202" coordsize="21600,21600" o:spt="202" path="m,l,21600r21600,l21600,xe">
                <v:stroke joinstyle="miter"/>
                <v:path gradientshapeok="t" o:connecttype="rect"/>
              </v:shapetype>
              <v:shape id="Text Box 3" o:spid="_x0000_s1026" type="#_x0000_t202" style="position:absolute;left:0;text-align:left;margin-left:533pt;margin-top:793.8pt;width:51pt;height:3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" o:allowincell="f" filled="f" stroked="f">
                <v:textbox>
                  <w:txbxContent>
                    <w:p w14:paraId="10C773CB" w14:textId="77777777" w:rsidR="009914FA" w:rsidRPr="009A68ED" w:rsidRDefault="009914FA" w:rsidP="009A68ED">
                      <w:pPr>
                        <w:overflowPunct/>
                        <w:adjustRightInd/>
                        <w:jc w:val="center"/>
                        <w:textAlignment w:val="auto"/>
                        <w:rPr>
                          <w:rFonts w:ascii="Arial" w:hAnsi="Arial" w:cs="Arial"/>
                          <w:b/>
                          <w:sz w:val="48"/>
                        </w:rPr>
                      </w:pPr>
                      <w:r>
                        <w:rPr>
                          <w:rFonts w:ascii="Arial" w:hAnsi="Arial"/>
                          <w:b/>
                          <w:sz w:val="48"/>
                        </w:rPr>
                        <w:t>NL</w:t>
                      </w:r>
                    </w:p>
                  </w:txbxContent>
                </v:textbox>
                <w10:wrap anchorx="page" anchory="page"/>
              </v:shape>
            </w:pict>
          </mc:Fallback>
        </mc:AlternateContent>
      </w:r>
    </w:p>
    <w:p w14:paraId="10C7734D" w14:textId="77777777" w:rsidR="00076622" w:rsidRPr="003E3323" w:rsidRDefault="00076622" w:rsidP="009A68ED">
      <w:pPr>
        <w:overflowPunct/>
        <w:adjustRightInd/>
        <w:textAlignment w:val="auto"/>
      </w:pPr>
    </w:p>
    <w:p w14:paraId="71665185" w14:textId="77777777" w:rsidR="00DF023D" w:rsidRPr="003E3323" w:rsidRDefault="00076622" w:rsidP="009A68ED">
      <w:pPr>
        <w:overflowPunct/>
        <w:adjustRightInd/>
        <w:jc w:val="center"/>
        <w:textAlignment w:val="auto"/>
        <w:rPr>
          <w:b/>
          <w:sz w:val="28"/>
        </w:rPr>
      </w:pPr>
      <w:r w:rsidRPr="003E3323">
        <w:rPr>
          <w:b/>
          <w:sz w:val="28"/>
        </w:rPr>
        <w:t>ONTWERPADVIES</w:t>
      </w:r>
    </w:p>
    <w:p w14:paraId="598B4623" w14:textId="77777777" w:rsidR="00DF023D" w:rsidRPr="003E3323" w:rsidRDefault="00DF023D" w:rsidP="009A68ED">
      <w:pPr>
        <w:overflowPunct/>
        <w:adjustRightInd/>
        <w:jc w:val="center"/>
        <w:textAlignment w:val="auto"/>
        <w:rPr>
          <w:b/>
          <w:sz w:val="28"/>
        </w:rPr>
      </w:pPr>
    </w:p>
    <w:p w14:paraId="1DB7ED9E" w14:textId="77777777" w:rsidR="00DF023D" w:rsidRPr="003E3323" w:rsidRDefault="00076622" w:rsidP="009A68ED">
      <w:pPr>
        <w:overflowPunct/>
        <w:adjustRightInd/>
        <w:jc w:val="center"/>
        <w:textAlignment w:val="auto"/>
        <w:rPr>
          <w:b/>
          <w:sz w:val="28"/>
        </w:rPr>
      </w:pPr>
      <w:r w:rsidRPr="003E3323">
        <w:rPr>
          <w:b/>
          <w:sz w:val="28"/>
        </w:rPr>
        <w:t>De toekomst van het cohesiebeleid na 2020</w:t>
      </w:r>
    </w:p>
    <w:p w14:paraId="521DFFFE" w14:textId="77777777" w:rsidR="00DF023D" w:rsidRPr="003E3323" w:rsidRDefault="00DF023D" w:rsidP="009A68ED">
      <w:pPr>
        <w:overflowPunct/>
        <w:adjustRightInd/>
        <w:jc w:val="center"/>
        <w:textAlignment w:val="auto"/>
        <w:rPr>
          <w:b/>
          <w:sz w:val="28"/>
        </w:rPr>
      </w:pPr>
    </w:p>
    <w:p w14:paraId="4BFD5572" w14:textId="342387D0" w:rsidR="00013E70" w:rsidRPr="003E3323" w:rsidRDefault="00076622" w:rsidP="009A68ED">
      <w:pPr>
        <w:overflowPunct/>
        <w:adjustRightInd/>
        <w:jc w:val="center"/>
        <w:textAlignment w:val="auto"/>
      </w:pPr>
      <w:r w:rsidRPr="003E3323">
        <w:rPr>
          <w:b/>
          <w:sz w:val="28"/>
        </w:rPr>
        <w:t>"Naar een sterk en doeltreffend Europees cohesiebeleid na 2020"</w:t>
      </w:r>
    </w:p>
    <w:p w14:paraId="10C77351" w14:textId="77777777" w:rsidR="00076622" w:rsidRPr="003E3323" w:rsidRDefault="00076622" w:rsidP="009A68ED">
      <w:pPr>
        <w:overflowPunct/>
        <w:adjustRightInd/>
        <w:jc w:val="left"/>
        <w:textAlignment w:val="auto"/>
      </w:pPr>
    </w:p>
    <w:p w14:paraId="10C77352" w14:textId="77777777" w:rsidR="00076622" w:rsidRPr="003E3323" w:rsidRDefault="00076622" w:rsidP="009A68ED">
      <w:pPr>
        <w:overflowPunct/>
        <w:adjustRightInd/>
        <w:jc w:val="left"/>
        <w:textAlignment w:val="auto"/>
      </w:pPr>
    </w:p>
    <w:tbl>
      <w:tblPr>
        <w:tblW w:w="0" w:type="auto"/>
        <w:tblLayout w:type="fixed"/>
        <w:tblLook w:val="0000" w:firstRow="0" w:lastRow="0" w:firstColumn="0" w:lastColumn="0" w:noHBand="0" w:noVBand="0"/>
      </w:tblPr>
      <w:tblGrid>
        <w:gridCol w:w="9243"/>
      </w:tblGrid>
      <w:tr w:rsidR="00076622" w:rsidRPr="003E3323" w14:paraId="10C77357" w14:textId="77777777">
        <w:tc>
          <w:tcPr>
            <w:tcW w:w="9243" w:type="dxa"/>
          </w:tcPr>
          <w:p w14:paraId="10C77353" w14:textId="77777777" w:rsidR="00076622" w:rsidRPr="003E3323" w:rsidRDefault="00076622" w:rsidP="009A68ED">
            <w:pPr>
              <w:overflowPunct/>
              <w:adjustRightInd/>
              <w:jc w:val="center"/>
              <w:textAlignment w:val="auto"/>
            </w:pPr>
            <w:r w:rsidRPr="003E3323">
              <w:t>_____________</w:t>
            </w:r>
          </w:p>
          <w:p w14:paraId="10C77354" w14:textId="77777777" w:rsidR="00076622" w:rsidRPr="003E3323" w:rsidRDefault="00076622" w:rsidP="009A68ED">
            <w:pPr>
              <w:overflowPunct/>
              <w:adjustRightInd/>
              <w:jc w:val="center"/>
              <w:textAlignment w:val="auto"/>
            </w:pPr>
          </w:p>
          <w:p w14:paraId="0040E60F" w14:textId="77777777" w:rsidR="00DF023D" w:rsidRPr="003E3323" w:rsidRDefault="00013E70" w:rsidP="009A68ED">
            <w:pPr>
              <w:overflowPunct/>
              <w:adjustRightInd/>
              <w:jc w:val="center"/>
              <w:textAlignment w:val="auto"/>
              <w:rPr>
                <w:b/>
              </w:rPr>
            </w:pPr>
            <w:r w:rsidRPr="003E3323">
              <w:t xml:space="preserve">Rapporteur: </w:t>
            </w:r>
            <w:r w:rsidRPr="003E3323">
              <w:rPr>
                <w:b/>
              </w:rPr>
              <w:t>Michael Schneider (DE/EVP)</w:t>
            </w:r>
          </w:p>
          <w:p w14:paraId="6751C3D9" w14:textId="54C66BCB" w:rsidR="00013E70" w:rsidRPr="003E3323" w:rsidRDefault="00013E70" w:rsidP="009A68ED">
            <w:pPr>
              <w:overflowPunct/>
              <w:adjustRightInd/>
              <w:jc w:val="center"/>
              <w:textAlignment w:val="auto"/>
            </w:pPr>
            <w:r w:rsidRPr="003E3323">
              <w:t>staatssecretaris, gevolmachtigde van de deelstaat Saksen-Anhalt bij de Bond</w:t>
            </w:r>
          </w:p>
          <w:p w14:paraId="68051822" w14:textId="77777777" w:rsidR="00076622" w:rsidRPr="003E3323" w:rsidRDefault="00076622" w:rsidP="00DF023D">
            <w:pPr>
              <w:overflowPunct/>
              <w:adjustRightInd/>
              <w:jc w:val="center"/>
              <w:textAlignment w:val="auto"/>
            </w:pPr>
            <w:r w:rsidRPr="003E3323">
              <w:t>_____________</w:t>
            </w:r>
          </w:p>
          <w:p w14:paraId="10C77356" w14:textId="52357638" w:rsidR="00DF023D" w:rsidRPr="003E3323" w:rsidRDefault="00DF023D" w:rsidP="00DF023D">
            <w:pPr>
              <w:overflowPunct/>
              <w:adjustRightInd/>
              <w:jc w:val="center"/>
              <w:textAlignment w:val="auto"/>
              <w:rPr>
                <w:szCs w:val="22"/>
              </w:rPr>
            </w:pPr>
          </w:p>
        </w:tc>
      </w:tr>
    </w:tbl>
    <w:p w14:paraId="10C77358" w14:textId="77777777" w:rsidR="00076622" w:rsidRPr="003E3323" w:rsidRDefault="00076622" w:rsidP="009A68ED">
      <w:pPr>
        <w:overflowPunct/>
        <w:adjustRightInd/>
        <w:jc w:val="left"/>
        <w:textAlignment w:val="auto"/>
      </w:pPr>
    </w:p>
    <w:p w14:paraId="10C77359" w14:textId="77777777" w:rsidR="00076622" w:rsidRPr="003E3323" w:rsidRDefault="00076622" w:rsidP="009A68ED">
      <w:pPr>
        <w:overflowPunct/>
        <w:adjustRightInd/>
        <w:jc w:val="left"/>
        <w:textAlignment w:val="auto"/>
      </w:pPr>
    </w:p>
    <w:p w14:paraId="10C7735A" w14:textId="77777777" w:rsidR="00076622" w:rsidRPr="003E3323" w:rsidRDefault="00076622" w:rsidP="009A68ED">
      <w:pPr>
        <w:overflowPunct/>
        <w:adjustRightInd/>
        <w:jc w:val="left"/>
        <w:textAlignment w:val="auto"/>
      </w:pPr>
    </w:p>
    <w:p w14:paraId="10C7735B" w14:textId="77777777" w:rsidR="00076622" w:rsidRPr="003E3323" w:rsidRDefault="00076622" w:rsidP="009A68ED">
      <w:pPr>
        <w:overflowPunct/>
        <w:adjustRightInd/>
        <w:jc w:val="left"/>
        <w:textAlignment w:val="auto"/>
      </w:pPr>
    </w:p>
    <w:p w14:paraId="10C7735C" w14:textId="77777777" w:rsidR="00076622" w:rsidRPr="003E3323" w:rsidRDefault="00076622" w:rsidP="009A68ED">
      <w:pPr>
        <w:overflowPunct/>
        <w:adjustRightInd/>
        <w:jc w:val="left"/>
        <w:textAlignment w:val="auto"/>
      </w:pPr>
    </w:p>
    <w:p w14:paraId="6782164C" w14:textId="77777777" w:rsidR="009F054C" w:rsidRPr="003E3323" w:rsidRDefault="009F054C" w:rsidP="009A68ED">
      <w:pPr>
        <w:overflowPunct/>
        <w:adjustRightInd/>
        <w:jc w:val="left"/>
        <w:textAlignment w:val="auto"/>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89"/>
      </w:tblGrid>
      <w:tr w:rsidR="009F054C" w:rsidRPr="003E3323" w14:paraId="77E240B4" w14:textId="77777777" w:rsidTr="009914FA">
        <w:tc>
          <w:tcPr>
            <w:tcW w:w="9289" w:type="dxa"/>
            <w:tcBorders>
              <w:top w:val="single" w:sz="4" w:space="0" w:color="auto"/>
              <w:bottom w:val="single" w:sz="4" w:space="0" w:color="auto"/>
            </w:tcBorders>
          </w:tcPr>
          <w:p w14:paraId="049E57B3" w14:textId="77777777" w:rsidR="009F054C" w:rsidRPr="003E3323" w:rsidRDefault="009F054C" w:rsidP="009A68ED">
            <w:pPr>
              <w:overflowPunct/>
              <w:adjustRightInd/>
              <w:textAlignment w:val="auto"/>
              <w:rPr>
                <w:b/>
              </w:rPr>
            </w:pPr>
            <w:r w:rsidRPr="003E3323">
              <w:rPr>
                <w:b/>
                <w:u w:val="single"/>
              </w:rPr>
              <w:t>Deadline voor het indienen van wijzigingsvoorstellen:</w:t>
            </w:r>
          </w:p>
          <w:p w14:paraId="49972BB1" w14:textId="77777777" w:rsidR="009F054C" w:rsidRPr="003E3323" w:rsidRDefault="009F054C" w:rsidP="009A68ED">
            <w:pPr>
              <w:overflowPunct/>
              <w:adjustRightInd/>
              <w:textAlignment w:val="auto"/>
              <w:rPr>
                <w:b/>
              </w:rPr>
            </w:pPr>
          </w:p>
          <w:p w14:paraId="477411F2" w14:textId="5B824A63" w:rsidR="009F054C" w:rsidRPr="003E3323" w:rsidRDefault="009F054C" w:rsidP="009A68ED">
            <w:pPr>
              <w:overflowPunct/>
              <w:adjustRightInd/>
              <w:textAlignment w:val="auto"/>
            </w:pPr>
            <w:r w:rsidRPr="003E3323">
              <w:rPr>
                <w:b/>
              </w:rPr>
              <w:t>24 april 2017 om 15 uur</w:t>
            </w:r>
            <w:r w:rsidRPr="003E3323">
              <w:t xml:space="preserve"> (Belgische tijd). U dient gebruik te maken van het systeem voor het online indienen van wijzigingsvoorstellen (zie het ledenportaal: </w:t>
            </w:r>
            <w:hyperlink r:id="rId14">
              <w:r w:rsidRPr="003E3323">
                <w:rPr>
                  <w:rStyle w:val="Hyperlink"/>
                  <w:rFonts w:eastAsiaTheme="majorEastAsia"/>
                </w:rPr>
                <w:t>https://memportal.cor.europa.eu/</w:t>
              </w:r>
            </w:hyperlink>
            <w:r w:rsidRPr="003E3323">
              <w:t>).</w:t>
            </w:r>
          </w:p>
          <w:p w14:paraId="4AE1594A" w14:textId="77777777" w:rsidR="009F054C" w:rsidRPr="003E3323" w:rsidRDefault="009F054C" w:rsidP="009A68ED">
            <w:pPr>
              <w:overflowPunct/>
              <w:adjustRightInd/>
              <w:textAlignment w:val="auto"/>
              <w:rPr>
                <w:i/>
              </w:rPr>
            </w:pPr>
          </w:p>
          <w:p w14:paraId="422B46B2" w14:textId="29A33493" w:rsidR="009F054C" w:rsidRPr="003E3323" w:rsidRDefault="009F054C" w:rsidP="009A68ED">
            <w:pPr>
              <w:overflowPunct/>
              <w:adjustRightInd/>
              <w:textAlignment w:val="auto"/>
            </w:pPr>
            <w:r w:rsidRPr="003E3323">
              <w:rPr>
                <w:u w:val="single"/>
              </w:rPr>
              <w:t>Vereist aantal handtekeningen</w:t>
            </w:r>
            <w:r w:rsidRPr="003E3323">
              <w:t>: 6</w:t>
            </w:r>
          </w:p>
          <w:p w14:paraId="1143FA33" w14:textId="77777777" w:rsidR="009F054C" w:rsidRPr="003E3323" w:rsidRDefault="009F054C" w:rsidP="009A68ED">
            <w:pPr>
              <w:overflowPunct/>
              <w:adjustRightInd/>
              <w:textAlignment w:val="auto"/>
              <w:rPr>
                <w:szCs w:val="22"/>
              </w:rPr>
            </w:pPr>
          </w:p>
        </w:tc>
      </w:tr>
    </w:tbl>
    <w:p w14:paraId="10C7735F" w14:textId="77777777" w:rsidR="00076622" w:rsidRPr="003E3323" w:rsidRDefault="00076622" w:rsidP="009A68ED">
      <w:pPr>
        <w:overflowPunct/>
        <w:adjustRightInd/>
        <w:jc w:val="left"/>
        <w:textAlignment w:val="auto"/>
      </w:pPr>
    </w:p>
    <w:p w14:paraId="10C77364" w14:textId="77777777" w:rsidR="00076622" w:rsidRPr="003E3323" w:rsidRDefault="00076622" w:rsidP="009A68ED">
      <w:pPr>
        <w:overflowPunct/>
        <w:adjustRightInd/>
        <w:textAlignment w:val="auto"/>
      </w:pPr>
    </w:p>
    <w:p w14:paraId="10C77365" w14:textId="77777777" w:rsidR="00076622" w:rsidRPr="003E3323" w:rsidRDefault="00076622" w:rsidP="009A68ED">
      <w:pPr>
        <w:tabs>
          <w:tab w:val="left" w:pos="440"/>
        </w:tabs>
        <w:overflowPunct/>
        <w:adjustRightInd/>
        <w:ind w:left="440" w:hanging="440"/>
        <w:textAlignment w:val="auto"/>
        <w:sectPr w:rsidR="00076622" w:rsidRPr="003E3323" w:rsidSect="00916648">
          <w:headerReference w:type="even" r:id="rId15"/>
          <w:headerReference w:type="default" r:id="rId16"/>
          <w:footerReference w:type="even" r:id="rId17"/>
          <w:footerReference w:type="default" r:id="rId18"/>
          <w:headerReference w:type="first" r:id="rId19"/>
          <w:footerReference w:type="first" r:id="rId20"/>
          <w:pgSz w:w="11907" w:h="16839" w:code="9"/>
          <w:pgMar w:top="1417" w:right="1417" w:bottom="1417" w:left="1417" w:header="709" w:footer="709" w:gutter="0"/>
          <w:pgNumType w:start="1"/>
          <w:cols w:space="720"/>
          <w:docGrid w:linePitch="299"/>
        </w:sectPr>
      </w:pPr>
    </w:p>
    <w:tbl>
      <w:tblPr>
        <w:tblW w:w="0" w:type="auto"/>
        <w:tblLayout w:type="fixed"/>
        <w:tblLook w:val="01E0" w:firstRow="1" w:lastRow="1" w:firstColumn="1" w:lastColumn="1" w:noHBand="0" w:noVBand="0"/>
      </w:tblPr>
      <w:tblGrid>
        <w:gridCol w:w="9243"/>
      </w:tblGrid>
      <w:tr w:rsidR="00076622" w:rsidRPr="003E3323" w14:paraId="10C77369" w14:textId="77777777">
        <w:trPr>
          <w:trHeight w:val="12474"/>
        </w:trPr>
        <w:tc>
          <w:tcPr>
            <w:tcW w:w="9243" w:type="dxa"/>
            <w:vAlign w:val="bottom"/>
          </w:tcPr>
          <w:p w14:paraId="10C77366" w14:textId="77777777" w:rsidR="00076622" w:rsidRPr="003E3323" w:rsidRDefault="00076622" w:rsidP="009A68ED">
            <w:pPr>
              <w:overflowPunct/>
              <w:adjustRightInd/>
              <w:textAlignment w:val="auto"/>
              <w:rPr>
                <w:u w:val="single"/>
              </w:rPr>
            </w:pPr>
            <w:r w:rsidRPr="003E3323">
              <w:rPr>
                <w:u w:val="single"/>
              </w:rPr>
              <w:lastRenderedPageBreak/>
              <w:t>Referentiedocument(en)</w:t>
            </w:r>
          </w:p>
          <w:p w14:paraId="10C77367" w14:textId="77777777" w:rsidR="00076622" w:rsidRPr="003E3323" w:rsidRDefault="00076622" w:rsidP="009A68ED">
            <w:pPr>
              <w:overflowPunct/>
              <w:adjustRightInd/>
              <w:textAlignment w:val="auto"/>
            </w:pPr>
          </w:p>
          <w:p w14:paraId="10C77368" w14:textId="77777777" w:rsidR="00076622" w:rsidRPr="003E3323" w:rsidRDefault="00076622" w:rsidP="009A68ED">
            <w:pPr>
              <w:overflowPunct/>
              <w:adjustRightInd/>
              <w:textAlignment w:val="auto"/>
              <w:rPr>
                <w:szCs w:val="22"/>
              </w:rPr>
            </w:pPr>
          </w:p>
        </w:tc>
      </w:tr>
    </w:tbl>
    <w:p w14:paraId="10C7736A" w14:textId="77777777" w:rsidR="00076622" w:rsidRPr="003E3323" w:rsidRDefault="00076622" w:rsidP="009A68ED">
      <w:pPr>
        <w:overflowPunct/>
        <w:adjustRightInd/>
        <w:textAlignment w:val="auto"/>
      </w:pPr>
    </w:p>
    <w:p w14:paraId="3214EC36" w14:textId="383BF608" w:rsidR="00916648" w:rsidRPr="003E3323" w:rsidRDefault="00076622" w:rsidP="009A68ED">
      <w:pPr>
        <w:overflowPunct/>
        <w:adjustRightInd/>
        <w:jc w:val="center"/>
        <w:textAlignment w:val="auto"/>
        <w:rPr>
          <w:b/>
        </w:rPr>
      </w:pPr>
      <w:r w:rsidRPr="003E3323">
        <w:br w:type="page"/>
      </w:r>
      <w:r w:rsidRPr="003E3323">
        <w:rPr>
          <w:b/>
        </w:rPr>
        <w:lastRenderedPageBreak/>
        <w:t xml:space="preserve">Ontwerpadvies van het Europees Comité van de Regio's </w:t>
      </w:r>
      <w:r w:rsidR="00916648" w:rsidRPr="003E3323">
        <w:rPr>
          <w:b/>
        </w:rPr>
        <w:t>–</w:t>
      </w:r>
      <w:r w:rsidRPr="003E3323">
        <w:rPr>
          <w:b/>
        </w:rPr>
        <w:t xml:space="preserve"> </w:t>
      </w:r>
    </w:p>
    <w:p w14:paraId="0E2B1804" w14:textId="67B6A716" w:rsidR="00916648" w:rsidRPr="003E3323" w:rsidRDefault="00076622" w:rsidP="009A68ED">
      <w:pPr>
        <w:overflowPunct/>
        <w:adjustRightInd/>
        <w:jc w:val="center"/>
        <w:textAlignment w:val="auto"/>
        <w:rPr>
          <w:b/>
        </w:rPr>
      </w:pPr>
      <w:r w:rsidRPr="003E3323">
        <w:rPr>
          <w:b/>
        </w:rPr>
        <w:t>De toekomst van het cohesiebeleid na 2020</w:t>
      </w:r>
    </w:p>
    <w:p w14:paraId="41032E53" w14:textId="77777777" w:rsidR="00916648" w:rsidRPr="003E3323" w:rsidRDefault="00916648" w:rsidP="009A68ED">
      <w:pPr>
        <w:overflowPunct/>
        <w:adjustRightInd/>
        <w:jc w:val="center"/>
        <w:textAlignment w:val="auto"/>
        <w:rPr>
          <w:b/>
        </w:rPr>
      </w:pPr>
    </w:p>
    <w:p w14:paraId="14E62C08" w14:textId="264505FB" w:rsidR="00013E70" w:rsidRPr="003E3323" w:rsidRDefault="00076622" w:rsidP="009A68ED">
      <w:pPr>
        <w:overflowPunct/>
        <w:adjustRightInd/>
        <w:jc w:val="center"/>
        <w:textAlignment w:val="auto"/>
        <w:rPr>
          <w:b/>
        </w:rPr>
      </w:pPr>
      <w:r w:rsidRPr="003E3323">
        <w:rPr>
          <w:b/>
        </w:rPr>
        <w:t>"Naar een sterk en doeltreffend Europees cohesiebeleid na 2020”</w:t>
      </w:r>
    </w:p>
    <w:p w14:paraId="5C206DBA" w14:textId="77777777" w:rsidR="00013E70" w:rsidRPr="003E3323" w:rsidRDefault="00013E70" w:rsidP="009A68ED">
      <w:pPr>
        <w:overflowPunct/>
        <w:adjustRightInd/>
        <w:textAlignment w:val="auto"/>
      </w:pPr>
    </w:p>
    <w:p w14:paraId="10C7737E" w14:textId="77777777" w:rsidR="00606B5A" w:rsidRPr="003E3323" w:rsidRDefault="00606B5A" w:rsidP="009A68ED">
      <w:pPr>
        <w:keepNext/>
        <w:numPr>
          <w:ilvl w:val="0"/>
          <w:numId w:val="2"/>
        </w:numPr>
        <w:overflowPunct/>
        <w:adjustRightInd/>
        <w:ind w:left="567" w:hanging="567"/>
        <w:textAlignment w:val="auto"/>
        <w:rPr>
          <w:b/>
        </w:rPr>
      </w:pPr>
      <w:r w:rsidRPr="003E3323">
        <w:rPr>
          <w:b/>
        </w:rPr>
        <w:t>Beleidsaanbevelingen</w:t>
      </w:r>
    </w:p>
    <w:p w14:paraId="10C7737F" w14:textId="77777777" w:rsidR="00606B5A" w:rsidRPr="003E3323" w:rsidRDefault="00606B5A" w:rsidP="009A68ED">
      <w:pPr>
        <w:keepNext/>
        <w:overflowPunct/>
        <w:adjustRightInd/>
        <w:textAlignment w:val="auto"/>
      </w:pPr>
    </w:p>
    <w:p w14:paraId="10C77380" w14:textId="77777777" w:rsidR="00606B5A" w:rsidRPr="003E3323" w:rsidRDefault="00606B5A" w:rsidP="009A68ED">
      <w:pPr>
        <w:keepNext/>
        <w:overflowPunct/>
        <w:adjustRightInd/>
        <w:textAlignment w:val="auto"/>
      </w:pPr>
      <w:r w:rsidRPr="003E3323">
        <w:t>HET EUROPEES COMITÉ VAN DE REGIO'S</w:t>
      </w:r>
    </w:p>
    <w:p w14:paraId="10C77381" w14:textId="77777777" w:rsidR="00606B5A" w:rsidRPr="003E3323" w:rsidRDefault="00606B5A" w:rsidP="009A68ED">
      <w:pPr>
        <w:keepNext/>
        <w:overflowPunct/>
        <w:adjustRightInd/>
        <w:textAlignment w:val="auto"/>
      </w:pPr>
    </w:p>
    <w:p w14:paraId="10C77382" w14:textId="0F3EFA8D" w:rsidR="00606B5A" w:rsidRPr="003E3323" w:rsidRDefault="00013E70" w:rsidP="009A68ED">
      <w:pPr>
        <w:keepNext/>
        <w:overflowPunct/>
        <w:adjustRightInd/>
        <w:textAlignment w:val="auto"/>
      </w:pPr>
      <w:r w:rsidRPr="003E3323">
        <w:t>Pijler van de Europese integratie</w:t>
      </w:r>
    </w:p>
    <w:p w14:paraId="10C77383" w14:textId="0E846EC9" w:rsidR="00606B5A" w:rsidRPr="003E3323" w:rsidRDefault="00606B5A" w:rsidP="009A68ED">
      <w:pPr>
        <w:keepNext/>
        <w:overflowPunct/>
        <w:adjustRightInd/>
        <w:textAlignment w:val="auto"/>
      </w:pPr>
    </w:p>
    <w:p w14:paraId="5F6974AE" w14:textId="5D110C6E" w:rsidR="00013E70" w:rsidRPr="003E3323" w:rsidRDefault="00013E70" w:rsidP="009A68ED">
      <w:pPr>
        <w:pStyle w:val="Kop1"/>
        <w:overflowPunct/>
        <w:adjustRightInd/>
        <w:ind w:left="567" w:hanging="567"/>
        <w:textAlignment w:val="auto"/>
      </w:pPr>
      <w:r w:rsidRPr="003E3323">
        <w:t>wijst erop dat het beleid ter versterking van de economische, sociale en territoriale samenhang een van de belangrijkste en tegelijkertijd omvangrijkste beleidslijnen van de EU vormt, omdat het gericht is op de gehele bevolking van de EU en op alle aspecten van het dagelijkse leven. Dit beleid is ook onlosmakelijk verbonden met het Europese integratieproces en met</w:t>
      </w:r>
      <w:r w:rsidR="00916648" w:rsidRPr="003E3323">
        <w:t xml:space="preserve"> </w:t>
      </w:r>
      <w:r w:rsidRPr="003E3323">
        <w:t xml:space="preserve">de Europese economische groei – net als de interne markt of de economische en monetaire unie. Het cohesiebeleid roept als noodzakelijke aanvulling op de regels van de interne markt ook eerlijke concurrentievoorwaarden in het leven en draagt door middel van strategische investeringen in de reële economie bij tot de waarborging van bestaande banen en het scheppen van nieuwe banen, vooral daar waar de traditionele markt faalt. Dit beleid zorgt er tevens voor dat de zwakkere lidstaten, regio's en gemeenten überhaupt voordeel kunnen halen uit de Europese integratie. Hierdoor levert het cohesiebeleid een aanzienlijke solidaire bijdrage aan de versterking van de EU als geheel en helpt het om de Europese toegevoegde waarde op een voor elke EU-burger zichtbare wijze te versterken. </w:t>
      </w:r>
    </w:p>
    <w:p w14:paraId="6BAE195D" w14:textId="33D64D02" w:rsidR="00013E70" w:rsidRPr="003E3323" w:rsidRDefault="00013E70" w:rsidP="009A68ED">
      <w:pPr>
        <w:overflowPunct/>
        <w:adjustRightInd/>
        <w:textAlignment w:val="auto"/>
      </w:pPr>
    </w:p>
    <w:p w14:paraId="445BC8C3" w14:textId="724D2A82" w:rsidR="00E6701C" w:rsidRPr="003E3323" w:rsidRDefault="00E6701C" w:rsidP="00AE36B1">
      <w:pPr>
        <w:pStyle w:val="Kop1"/>
        <w:overflowPunct/>
        <w:adjustRightInd/>
        <w:ind w:left="567" w:hanging="567"/>
        <w:textAlignment w:val="auto"/>
      </w:pPr>
      <w:r w:rsidRPr="003E3323">
        <w:t>Sinds het uitbreken van de economische crisis in 2007 is de kloof tussen de regio's nog dieper geworden, en de verschillen zijn in verhouding veel groter dan de verschillen tussen landen. Deze trend komt ter sprake in het 6de cohesieverslag en wordt ook bevestigd door de meest recente cijfers van de OESO; het cohesiebeleid is dan ook in alle opzichten - zowel economisch, sociaal als territoriaal - actueler dan ooit.</w:t>
      </w:r>
    </w:p>
    <w:p w14:paraId="2FAF745C" w14:textId="6DEDEA75" w:rsidR="00E6701C" w:rsidRPr="003E3323" w:rsidRDefault="00E6701C" w:rsidP="009A68ED">
      <w:pPr>
        <w:overflowPunct/>
        <w:adjustRightInd/>
        <w:textAlignment w:val="auto"/>
      </w:pPr>
    </w:p>
    <w:p w14:paraId="5F47E337" w14:textId="53E5A137" w:rsidR="00E6701C" w:rsidRPr="003E3323" w:rsidRDefault="00E6701C" w:rsidP="00AE36B1">
      <w:pPr>
        <w:pStyle w:val="Kop1"/>
        <w:overflowPunct/>
        <w:adjustRightInd/>
        <w:ind w:left="567" w:hanging="567"/>
        <w:textAlignment w:val="auto"/>
      </w:pPr>
      <w:r w:rsidRPr="003E3323">
        <w:t>Het Comité van de Regio's is tevens van mening dat de toekomst van het cohesiebeleid moet aansluiten bij een versterking van de solidariteit ten gunste van de burgers om zo de verzwakte legitimiteit van de EU te herstellen. Het wantrouwen, de intolerantie en de afname van een pro-Europese instelling ondermijnen onze samenleving en moeten worden verholpen door een verkleining van alle soorten ongelijkheid die Europeanen dagelijks ondervinden. Daarom zijn voor de bestrijding van ongelijkheden, het behoud van fatsoenlijke levensomstandigheden en de eerbiediging van rechten gecoördineerde maatregelen op meerdere niveaus vereist zoals waar het cohesiebeleid voor staat. Het cohesiebeleid moet niet alleen dienen om de kansen te benutten die zijn verbonden aan technologische of klimaatverandering, maar moet ook de lokale en regionale autoriteiten in staat stellen kansen te creëren voor hun bevolking.</w:t>
      </w:r>
    </w:p>
    <w:p w14:paraId="381CA4BE" w14:textId="62BFC995" w:rsidR="00E6701C" w:rsidRPr="003E3323" w:rsidRDefault="00E6701C" w:rsidP="009A68ED">
      <w:pPr>
        <w:overflowPunct/>
        <w:adjustRightInd/>
        <w:textAlignment w:val="auto"/>
      </w:pPr>
    </w:p>
    <w:p w14:paraId="1110030B" w14:textId="5E06D33F" w:rsidR="00013E70" w:rsidRPr="003E3323" w:rsidRDefault="00013E70" w:rsidP="009A68ED">
      <w:pPr>
        <w:pStyle w:val="Kop1"/>
        <w:overflowPunct/>
        <w:adjustRightInd/>
        <w:ind w:left="567" w:hanging="567"/>
        <w:textAlignment w:val="auto"/>
      </w:pPr>
      <w:r w:rsidRPr="003E3323">
        <w:t xml:space="preserve">Het Comité van de Regio's (CvdR) stelt vast dat de Europese structuur- en investeringsfondsen (ESIF) conform een decentrale bottom-upaanpak in tal van regio's van de EU in grote mate strategisch hebben bijgedragen aan een positieve economische, sociale en territoriale ontwikkeling. Uit talrijke studies blijkt de meerwaarde en het belang van de ESIF voor het </w:t>
      </w:r>
      <w:r w:rsidRPr="003E3323">
        <w:lastRenderedPageBreak/>
        <w:t>creëren van banen, duurzame groei en moderne infrastructuur, het wegnemen van structurele belemmeringen, het stimuleren van menselijk kapitaal en de verbetering van de levenskwaliteit. Door hun positieve ontwikkeling en het bereiken van de in hun ESIF-programma's overeengekomen strategische doelstellingen, dragen de regionale en lokale overheden die steun genieten in het kader van het cohesiebeleid ook bij tot het bereiken van de EU-groeidoelstellingen en tot verduidelijking van de positieve gevolgen van de Europese integratie.</w:t>
      </w:r>
    </w:p>
    <w:p w14:paraId="0D8303C5" w14:textId="77777777" w:rsidR="00E2257A" w:rsidRPr="003E3323" w:rsidRDefault="00E2257A" w:rsidP="009A68ED">
      <w:pPr>
        <w:overflowPunct/>
        <w:adjustRightInd/>
        <w:ind w:left="-567"/>
        <w:textAlignment w:val="auto"/>
        <w:rPr>
          <w:highlight w:val="yellow"/>
        </w:rPr>
      </w:pPr>
    </w:p>
    <w:p w14:paraId="05B65F3C" w14:textId="0E0224B3" w:rsidR="00013E70" w:rsidRPr="003E3323" w:rsidRDefault="00013E70" w:rsidP="009A68ED">
      <w:pPr>
        <w:pStyle w:val="Kop1"/>
        <w:overflowPunct/>
        <w:adjustRightInd/>
        <w:ind w:left="567" w:hanging="567"/>
        <w:textAlignment w:val="auto"/>
      </w:pPr>
      <w:r w:rsidRPr="003E3323">
        <w:t>De resultaten van de uitvoering van de ESIF laten zien dat het cohesiebeleid in staat is flexibel te reageren op de doelstellingen van Europa 2020 of nieuwe uitdagingen zoals die zich thans voordoen op het vlak van onder meer energiezekerheid, de demografische situatie, migratie en buitengrenzen, inclusief bij de opvang van vluchtelingen. Een sterk en doeltreffend cohesiebeleid is tegelijk een voorwaarde voor het overwinnen van crises. Om te zorgen dat dit zo blijft, moet een nieuwe ontwikkelingsstrategie dienen als uitgangspunt voor de volgende programmeringsperiode. Voorts moet ervoor worden gezorgd dat het cohesiebeleid, ter handhaving van haar strategische grondslag als stabiel investeringskader, ook in de toekomst programmering op lange termijn mogelijk maakt voor de lidstaten, de regio's en de lokale overheden en moet het mogelijk zijn om de operationele programma's te wijzigen voor een betere aanpassing aan economische, sociale en milieuontwikkelingen. Het is tevens van belang dat er voor het cohesiebeleid passende middelen worden uitgetrokken.</w:t>
      </w:r>
    </w:p>
    <w:p w14:paraId="40704129" w14:textId="47C96D8A" w:rsidR="00013E70" w:rsidRPr="003E3323" w:rsidRDefault="00013E70" w:rsidP="009A68ED">
      <w:pPr>
        <w:overflowPunct/>
        <w:adjustRightInd/>
        <w:textAlignment w:val="auto"/>
      </w:pPr>
    </w:p>
    <w:p w14:paraId="1F57AF60" w14:textId="77E072F7" w:rsidR="000F5C60" w:rsidRPr="003E3323" w:rsidRDefault="000F5C60" w:rsidP="00AE36B1">
      <w:pPr>
        <w:pStyle w:val="Kop1"/>
        <w:overflowPunct/>
        <w:adjustRightInd/>
        <w:ind w:left="567" w:hanging="567"/>
        <w:textAlignment w:val="auto"/>
      </w:pPr>
      <w:r w:rsidRPr="003E3323">
        <w:t>Voor meer planningszekerheid van het cohesiebeleid is het ook van belang dat er, in het verlengde van de Europa 2020-strategie een strategische oriëntatie is die als referentiepunt kan dienen voor duurzame vooruitgang bij de verwezenlijking van de economische, sociale en territoriale samenhang en die tevens, indien nodig, rekening houdt met de internationale context (bijv. de VN-doelstellingen voor duurzame ontwikkeling en de Habitat III-overeenkomst van de VN) en de behoeften van de regionale en lokale overheden, ter waarborging van een territoriale aanpak.</w:t>
      </w:r>
    </w:p>
    <w:p w14:paraId="735850CB" w14:textId="03BDB2F6" w:rsidR="000F5C60" w:rsidRPr="003E3323" w:rsidRDefault="000F5C60" w:rsidP="009A68ED">
      <w:pPr>
        <w:overflowPunct/>
        <w:adjustRightInd/>
        <w:textAlignment w:val="auto"/>
      </w:pPr>
    </w:p>
    <w:p w14:paraId="2D809CDC" w14:textId="03468ED1" w:rsidR="00013E70" w:rsidRPr="003E3323" w:rsidRDefault="00013E70" w:rsidP="009A68ED">
      <w:pPr>
        <w:pStyle w:val="Kop1"/>
        <w:overflowPunct/>
        <w:adjustRightInd/>
        <w:ind w:left="567" w:hanging="567"/>
        <w:textAlignment w:val="auto"/>
      </w:pPr>
      <w:r w:rsidRPr="003E3323">
        <w:t xml:space="preserve">De toekomst van het cohesiebeleid is onlosmakelijk verbonden met de toekomst van de EU als geheel. Een sterke en slagvaardige Unie kan niet zonder een sterk en doeltreffend cohesiebeleid; ook is het van cruciaal belang dat de EU de burgers duidelijk laat zien dat zij resultaten boekt. Honderdduizenden succesvolle ESIF-projecten overal in Europa hebben aangetoond dat het cohesiebeleid een concrete en tastbare invloed heeft op de levenskwaliteit van de burgers, doordat het onder meer ertoe heeft bijgedragen de gevolgen van de crisis te verzachten. Het CvdR dringt er met klem op aan te waarborgen dat het cohesiebeleid ook na 2020 een belangrijke rol blijft spelen in de EU. </w:t>
      </w:r>
    </w:p>
    <w:p w14:paraId="3A0E6B08" w14:textId="73A8F739" w:rsidR="00013E70" w:rsidRPr="003E3323" w:rsidRDefault="00013E70" w:rsidP="009A68ED">
      <w:pPr>
        <w:overflowPunct/>
        <w:adjustRightInd/>
        <w:textAlignment w:val="auto"/>
      </w:pPr>
    </w:p>
    <w:p w14:paraId="562CD3D8" w14:textId="20AB9238" w:rsidR="00013E70" w:rsidRPr="003E3323" w:rsidRDefault="00013E70" w:rsidP="009A68ED">
      <w:pPr>
        <w:pStyle w:val="Kop1"/>
        <w:overflowPunct/>
        <w:adjustRightInd/>
        <w:ind w:left="567" w:hanging="567"/>
        <w:textAlignment w:val="auto"/>
      </w:pPr>
      <w:r w:rsidRPr="003E3323">
        <w:t xml:space="preserve">Bij de komende hervorming van het cohesiebeleid moet een goed evenwicht worden gevonden tussen continuïteit en de nodige vernieuwing. Op basis van de ervaringen die in eerdere programmeringsperioden zijn opgedaan, moeten de sterke en zwakke punten van het bestaande cohesiebeleid worden aangewezen en moeten manieren worden gevonden om het doeltreffender te maken. In dit verband is het van centraal belang dat de in het Verdrag vastgestelde taken worden vervuld en dat de strategische doelstellingen voor de lange termijn inzake slimme, inclusieve en duurzame groei worden nagestreefd. Door de flexibele tenuitvoerlegging door lokale en regionale overheden dient de effectiviteit van het cohesiebeleid te worden verhoogd, dient het dichter bij de burgers te worden gebracht en dient de zichtbaarheid van de EU op </w:t>
      </w:r>
      <w:r w:rsidRPr="003E3323">
        <w:lastRenderedPageBreak/>
        <w:t>lokaal niveau te worden vergroot. Het cohesiebeleid behoort tot de beleidsgebieden waarop het ingrijpen van de EU het meest zichtbaar is, en dat moet ook zo blijven, juist door flexibele toepassing door lokale en regionale overheden. Het verslag van Fabrizio Barca over een "Agenda voor een herzien cohesiebeleid" over de territoriale aanpak is onverminderd geldig.</w:t>
      </w:r>
    </w:p>
    <w:p w14:paraId="10C7D951" w14:textId="0867158C" w:rsidR="00013E70" w:rsidRPr="003E3323" w:rsidRDefault="00013E70" w:rsidP="009A68ED">
      <w:pPr>
        <w:overflowPunct/>
        <w:adjustRightInd/>
        <w:textAlignment w:val="auto"/>
      </w:pPr>
    </w:p>
    <w:p w14:paraId="5DE8B5B7" w14:textId="573193BF" w:rsidR="00013E70" w:rsidRPr="003E3323" w:rsidRDefault="00013E70" w:rsidP="009A68ED">
      <w:pPr>
        <w:pStyle w:val="Kop1"/>
        <w:overflowPunct/>
        <w:adjustRightInd/>
        <w:ind w:left="567" w:hanging="567"/>
        <w:textAlignment w:val="auto"/>
      </w:pPr>
      <w:r w:rsidRPr="003E3323">
        <w:t>Het bijzonder belang van het cohesiebeleid bestaat in de koppeling van strategische richtsnoeren voor het aanpakken van dringende uitdagingen op Europees en mondiaal niveau aan regionale en lokale ontwikkelingsstrategieën voor de lange termijn binnen de lidstaten en de tenuitvoerlegging daarvan op lokaal niveau. Het cohesiebeleid is dus - anders dan nationaal structuurbeleid - een voorbeeld van Europese solidariteit en zorgt voor een harmonieuze territoriale ontwikkeling van de EU als geheel.</w:t>
      </w:r>
    </w:p>
    <w:p w14:paraId="43901DA6" w14:textId="524EB349" w:rsidR="00013E70" w:rsidRPr="003E3323" w:rsidRDefault="00013E70" w:rsidP="009A68ED">
      <w:pPr>
        <w:overflowPunct/>
        <w:adjustRightInd/>
        <w:textAlignment w:val="auto"/>
      </w:pPr>
    </w:p>
    <w:p w14:paraId="0ACE3FED" w14:textId="4D5B3F2E" w:rsidR="00013E70" w:rsidRPr="003E3323" w:rsidRDefault="00013E70" w:rsidP="009A68ED">
      <w:pPr>
        <w:pStyle w:val="Kop1"/>
        <w:overflowPunct/>
        <w:adjustRightInd/>
        <w:ind w:left="567" w:hanging="567"/>
        <w:textAlignment w:val="auto"/>
      </w:pPr>
      <w:r w:rsidRPr="003E3323">
        <w:t>De met het oog hierop in de Europese Verdragen opgenomen belangrijkste taken en hoofddoelstellingen van het cohesiebeleid en de daar opgenomen omschrijving van de drie structuur- en investeringsfondsen (EFRO, ESF en ELFPO) waarborgen de uitvoering van de doelstellingen van het cohesiebeleid ook in de toekomst en maken een betere coördinatie mogelijk voor het bereiken van synergie en een harmonische ontwikkeling van alle stedelijke en plattelandsgebieden.</w:t>
      </w:r>
    </w:p>
    <w:p w14:paraId="6520CCA0" w14:textId="6633549D" w:rsidR="00013E70" w:rsidRPr="003E3323" w:rsidRDefault="00013E70" w:rsidP="009A68ED">
      <w:pPr>
        <w:overflowPunct/>
        <w:adjustRightInd/>
        <w:textAlignment w:val="auto"/>
      </w:pPr>
    </w:p>
    <w:p w14:paraId="6B8524FD" w14:textId="16AE2121" w:rsidR="00C33FB3" w:rsidRPr="003E3323" w:rsidRDefault="00C33FB3" w:rsidP="00AE36B1">
      <w:pPr>
        <w:pStyle w:val="Kop1"/>
        <w:overflowPunct/>
        <w:adjustRightInd/>
        <w:ind w:left="567" w:hanging="567"/>
        <w:textAlignment w:val="auto"/>
      </w:pPr>
      <w:r w:rsidRPr="003E3323">
        <w:t>De plattelandsontwikkeling in het kader van het GLB moet beter op de ESIF worden afgestemd.</w:t>
      </w:r>
    </w:p>
    <w:p w14:paraId="34C4AB07" w14:textId="77777777" w:rsidR="00C33FB3" w:rsidRPr="003E3323" w:rsidRDefault="00C33FB3" w:rsidP="009A68ED">
      <w:pPr>
        <w:overflowPunct/>
        <w:adjustRightInd/>
        <w:textAlignment w:val="auto"/>
      </w:pPr>
    </w:p>
    <w:p w14:paraId="3656FA9B" w14:textId="11A9AB81" w:rsidR="00013E70" w:rsidRPr="003E3323" w:rsidRDefault="00013E70" w:rsidP="009A68ED">
      <w:pPr>
        <w:keepNext/>
        <w:keepLines/>
        <w:overflowPunct/>
        <w:adjustRightInd/>
        <w:textAlignment w:val="auto"/>
      </w:pPr>
      <w:r w:rsidRPr="003E3323">
        <w:t>Planningszekerheid door een strategische aanpak voor de lange termijn</w:t>
      </w:r>
    </w:p>
    <w:p w14:paraId="36980D48" w14:textId="462F6F64" w:rsidR="00013E70" w:rsidRPr="003E3323" w:rsidRDefault="00013E70" w:rsidP="009A68ED">
      <w:pPr>
        <w:keepNext/>
        <w:keepLines/>
        <w:overflowPunct/>
        <w:adjustRightInd/>
        <w:textAlignment w:val="auto"/>
      </w:pPr>
    </w:p>
    <w:p w14:paraId="02426039" w14:textId="7D0AD479" w:rsidR="00013E70" w:rsidRPr="003E3323" w:rsidRDefault="00013E70" w:rsidP="009A68ED">
      <w:pPr>
        <w:pStyle w:val="Kop1"/>
        <w:overflowPunct/>
        <w:adjustRightInd/>
        <w:ind w:left="567" w:hanging="567"/>
        <w:textAlignment w:val="auto"/>
      </w:pPr>
      <w:r w:rsidRPr="003E3323">
        <w:t>Het cohesiebeleid beperkt zich niet alleen tot het uit de weg ruimen van regionale ongelijkheden en het verkleinen van ontwikkelingsachterstand - overigens een van de meest fundamentele in het Verdrag vastgelegde taken -, maar gaat ook over een nieuwe strategie voor de bevordering van innovatie, concurrentiekracht en duurzame groei in zowel de minder ontwikkelde regio's, de overgangsregio’s als de sterkere Europese regio's. Door omvangrijke investeringen in de economische en sociale toekomst van het regionale en lokale niveau dient dit beleid ook in de toekomst bij te dragen tot werkgelegenheid, productiviteit, duurzaamheid en sociale samenhang in de EU. De in het kader van de strategie Europa 2020 vastgestelde beleidsprioriteiten zorgen tijdens de lopende programmeringsperiode voor een sterkere concentratie op kernthema's en meer resultaatgerichtheid van het cohesiebeleid. De effectieve uitvoering van de ESIF vereist ook in de toekomst strategische doelstellingen om de voorspelbaarheid van het cohesiebeleid te waarborgen en in een kader voor de ESIF-programmering te voorzien, ongeacht of er in de vorm van een follow-upstrategie een nieuw actiekader wordt vastgesteld. De programmeringsperiode voor het cohesiebeleid zou dan ook zeven jaar moeten beslaan, mits dit overeenkomt met de duur van het volgende meerjarig financieel kader.</w:t>
      </w:r>
    </w:p>
    <w:p w14:paraId="47720EBF" w14:textId="5FFA7118" w:rsidR="00013E70" w:rsidRPr="003E3323" w:rsidRDefault="00013E70" w:rsidP="009A68ED">
      <w:pPr>
        <w:overflowPunct/>
        <w:adjustRightInd/>
        <w:textAlignment w:val="auto"/>
      </w:pPr>
    </w:p>
    <w:p w14:paraId="7DAC9D63" w14:textId="0E77E299" w:rsidR="00013E70" w:rsidRPr="003E3323" w:rsidRDefault="00013E70" w:rsidP="009A68ED">
      <w:pPr>
        <w:pStyle w:val="Kop1"/>
        <w:overflowPunct/>
        <w:adjustRightInd/>
        <w:ind w:left="567" w:hanging="567"/>
        <w:textAlignment w:val="auto"/>
      </w:pPr>
      <w:r w:rsidRPr="003E3323">
        <w:t>Een dergelijke strategische aanpak op EU-niveau mag evenwel niet te strikt zijn of leiden tot een eenzijdige focus op individuele EU-doelstellingen die niet zijn afgestemd op de concrete problemen waar de verschillende regio's mee te maken krijgen. Het cohesiebeleid moet daarentegen ook in de toekomst voor alle beleidsgebieden en alle thema's op regionaal en lokaal niveau geïntegreerde en genuanceerde plaatselijke oplossingen blijven bieden. Net als alle andere EU-beleidsterreinen moet het cohesiebeleid, in overeenstemming met de in het Verdrag vermelde taakstelling, ook een bijdrage leveren aan de belangrijkste Europese doelstellingen. Omgekeerd moet op de andere beleidsgebieden van de EU eveneens worden bijgedragen tot de verwezenlijking van de in het Verdrag vastgestelde doelstellingen van het cohesiebeleid. Hiertoe moet tijdig vóór het begin van de nieuwe programmeringsperiode, ter versterking van de territoriale aanpak conform de multilevel governance, een dialoog tussen de voor de uitvoering van het cohesiebeleid bevoegde actoren en de sectorale beleidsterreinen plaatsvinden (met name de synergieën tussen de sectorale Europese programma's, zoals Horizon 2020, Cosme, enz.) om te bespreken hoe de beoogde beleidsbenaderingen kunnen worden gecoördineerd.</w:t>
      </w:r>
    </w:p>
    <w:p w14:paraId="621ED44D" w14:textId="51CCA16B" w:rsidR="00013E70" w:rsidRPr="003E3323" w:rsidRDefault="00013E70" w:rsidP="009A68ED">
      <w:pPr>
        <w:overflowPunct/>
        <w:adjustRightInd/>
        <w:textAlignment w:val="auto"/>
      </w:pPr>
    </w:p>
    <w:p w14:paraId="44A8EDB2" w14:textId="6CADF1B2" w:rsidR="00AE6063" w:rsidRPr="003E3323" w:rsidRDefault="00AE6063" w:rsidP="00AE36B1">
      <w:pPr>
        <w:pStyle w:val="Kop1"/>
        <w:overflowPunct/>
        <w:adjustRightInd/>
        <w:ind w:left="567" w:hanging="567"/>
        <w:textAlignment w:val="auto"/>
      </w:pPr>
      <w:r w:rsidRPr="003E3323">
        <w:t>Er moet een nieuw gemeenschappelijk strategisch kader komen voor alle EU-beleidsgebieden en -fondsen met een territoriale dimensie. We denken dan met name aan de ESIF, maar ook aan de opvolgers van de Europese financieringsfaciliteit, LIFE en Horizon 2020, alsook aan de leningsinstrumenten, en meer in het bijzonder het kredietbeleid van het EFSI en de EIB. Een dergelijk kader moet zorgen voor strategische samenhang tussen de doelstellingen en investeringen, zodat overlappingen worden vermeden en de maatregelen op zowel EU- als nationaal niveau op elkaar worden afgestemd.</w:t>
      </w:r>
    </w:p>
    <w:p w14:paraId="591C9A98" w14:textId="46AF8BCC" w:rsidR="00AE6063" w:rsidRPr="003E3323" w:rsidRDefault="00AE6063" w:rsidP="009A68ED">
      <w:pPr>
        <w:overflowPunct/>
        <w:adjustRightInd/>
        <w:textAlignment w:val="auto"/>
      </w:pPr>
    </w:p>
    <w:p w14:paraId="53C3790B" w14:textId="283CD00A" w:rsidR="00013E70" w:rsidRPr="003E3323" w:rsidRDefault="00013E70" w:rsidP="009A68ED">
      <w:pPr>
        <w:pStyle w:val="Kop1"/>
        <w:overflowPunct/>
        <w:adjustRightInd/>
        <w:ind w:left="567" w:hanging="567"/>
        <w:textAlignment w:val="auto"/>
      </w:pPr>
      <w:r w:rsidRPr="003E3323">
        <w:t xml:space="preserve">Uiteindelijk kan het juiste evenwicht tussen de verschillende doelstellingen, richtsnoeren en instrumenten van het cohesiebeleid enkel tot stand komen door een echt driehoekspartnerschap te smeden waarin de Commissie, de lidstaten en de regio's en lokale overheden eendrachtig samenwerken om in het kader van gedeeld beheer de beste oplossingen te vinden. De inbreng van de regionale en lokale overheden waarin de verordeningen voorzien, moet ten volle worden verwezenlijkt en mag bij de goedkeuringsprocedure niet weer worden ingeperkt. Bovendien moet de relatie tussen de beheersautoriteiten en de Commissie zo worden vernieuwd dat een daadwerkelijke vertrouwensband tussen de twee partijen ontstaat. Het Comité van de Regio's is voorstander van een actievere deelname van de Commissie in het gedeelde beheer. Ze moet een daadwerkelijke partner worden bij de tenuitvoerlegging van het cohesiebeleid en zich niet beperken tot het toezicht op de beheersautoriteiten. </w:t>
      </w:r>
    </w:p>
    <w:p w14:paraId="0D078A7E" w14:textId="4B63EBE0" w:rsidR="00013E70" w:rsidRPr="003E3323" w:rsidRDefault="00013E70" w:rsidP="009A68ED">
      <w:pPr>
        <w:overflowPunct/>
        <w:adjustRightInd/>
        <w:textAlignment w:val="auto"/>
      </w:pPr>
    </w:p>
    <w:p w14:paraId="7558C209" w14:textId="0E5553AC" w:rsidR="00013E70" w:rsidRPr="003E3323" w:rsidRDefault="00013E70" w:rsidP="009A68ED">
      <w:pPr>
        <w:pStyle w:val="Kop1"/>
        <w:overflowPunct/>
        <w:adjustRightInd/>
        <w:ind w:left="567" w:hanging="567"/>
        <w:textAlignment w:val="auto"/>
      </w:pPr>
      <w:r w:rsidRPr="003E3323">
        <w:t>Het programmeringsproces moet een proces worden van onderhandelingen tussen de Commissie, de lidstaten en de regionale en lokale overheden als partners, overeenkomstig het subsidiariteitsbeginsel. Dit houdt in dat de bevoegde bestuurslagen zeggenschap moeten krijgen in de onderhandelingen over de financieringsdoelstellingen en -prioriteiten. De Europese gedragscode inzake partnerschap moet dus een wettelijk bindend onderdeel vormen van de toekomstige verordeningen; in het geval van een afzonderlijke gedragscode kan er immers onzekerheid omtrent de juridische status ontstaan.</w:t>
      </w:r>
    </w:p>
    <w:p w14:paraId="78223E60" w14:textId="77777777" w:rsidR="00013E70" w:rsidRPr="003E3323" w:rsidRDefault="00013E70" w:rsidP="009A68ED">
      <w:pPr>
        <w:overflowPunct/>
        <w:adjustRightInd/>
        <w:textAlignment w:val="auto"/>
      </w:pPr>
    </w:p>
    <w:p w14:paraId="54BFED0C" w14:textId="467AD9D4" w:rsidR="00013E70" w:rsidRPr="003E3323" w:rsidRDefault="00013E70" w:rsidP="009A68ED">
      <w:pPr>
        <w:keepNext/>
        <w:keepLines/>
        <w:overflowPunct/>
        <w:adjustRightInd/>
        <w:textAlignment w:val="auto"/>
      </w:pPr>
      <w:r w:rsidRPr="003E3323">
        <w:t>Bijdrage tot de coördinatie van het economisch beleid</w:t>
      </w:r>
    </w:p>
    <w:p w14:paraId="2E163DC9" w14:textId="77777777" w:rsidR="00013E70" w:rsidRPr="003E3323" w:rsidRDefault="00013E70" w:rsidP="009A68ED">
      <w:pPr>
        <w:keepNext/>
        <w:keepLines/>
        <w:overflowPunct/>
        <w:adjustRightInd/>
        <w:textAlignment w:val="auto"/>
      </w:pPr>
    </w:p>
    <w:p w14:paraId="264D03BD" w14:textId="621A521D" w:rsidR="00013E70" w:rsidRPr="003E3323" w:rsidRDefault="00013E70" w:rsidP="009A68ED">
      <w:pPr>
        <w:pStyle w:val="Kop1"/>
        <w:overflowPunct/>
        <w:adjustRightInd/>
        <w:ind w:left="567" w:hanging="567"/>
        <w:textAlignment w:val="auto"/>
      </w:pPr>
      <w:r w:rsidRPr="003E3323">
        <w:t>De stabiliserende en anticyclische werking van het cohesiebeleid is uit strategisch oogpunt van groot belang, met name voor de ondersteuning van de belangrijkste inspanningen in alle lidstaten voor investeringen in duurzame groei, werkgelegenheid en innovatie.</w:t>
      </w:r>
    </w:p>
    <w:p w14:paraId="73953A94" w14:textId="3FF6D391" w:rsidR="00013E70" w:rsidRPr="003E3323" w:rsidRDefault="00013E70" w:rsidP="009A68ED">
      <w:pPr>
        <w:overflowPunct/>
        <w:adjustRightInd/>
        <w:textAlignment w:val="auto"/>
      </w:pPr>
    </w:p>
    <w:p w14:paraId="3EF54690" w14:textId="59FF53B2" w:rsidR="00013E70" w:rsidRPr="003E3323" w:rsidRDefault="00013E70" w:rsidP="009A68ED">
      <w:pPr>
        <w:pStyle w:val="Kop1"/>
        <w:overflowPunct/>
        <w:adjustRightInd/>
        <w:ind w:left="567" w:hanging="567"/>
        <w:textAlignment w:val="auto"/>
      </w:pPr>
      <w:r w:rsidRPr="003E3323">
        <w:t>Daarom is het in beginsel een goed idee om EU-middelen te concentreren op de tenuitvoerlegging van de in samenwerking met de lidstaten en de regio's en het lokale bestuur overeengekomen doelstellingen van de beleidsstrategieën voor de lange termijn. Er zij er echter nogmaals op gewezen dat de jaarlijkse procedure met de landenspecifieke aanbevelingen aan de lidstaten in het kader van het Europees semester nog steeds niet stroken met de programmering op middellange en lange termijn zoals vereist door de ESIF. Bovendien ontbreekt veelal het inhoudelijke verband tussen de landenspecifieke aanbevelingen enerzijds en de ESIF-programma's anderzijds.</w:t>
      </w:r>
    </w:p>
    <w:p w14:paraId="62A0D375" w14:textId="57E29A95" w:rsidR="00013E70" w:rsidRPr="003E3323" w:rsidRDefault="00013E70" w:rsidP="009A68ED">
      <w:pPr>
        <w:overflowPunct/>
        <w:adjustRightInd/>
        <w:textAlignment w:val="auto"/>
      </w:pPr>
    </w:p>
    <w:p w14:paraId="4EDD24D7" w14:textId="78E3683F" w:rsidR="00013E70" w:rsidRPr="003E3323" w:rsidRDefault="00013E70" w:rsidP="009A68ED">
      <w:pPr>
        <w:pStyle w:val="Kop1"/>
        <w:overflowPunct/>
        <w:adjustRightInd/>
        <w:ind w:left="567" w:hanging="567"/>
        <w:textAlignment w:val="auto"/>
      </w:pPr>
      <w:r w:rsidRPr="003E3323">
        <w:t>Bij de koppeling van het cohesiebeleid aan de nationale hervormingsprogramma's moet er daarom op Europees niveau voor worden gezorgd dat de territoriale dimensie, alsook het gemeenschappelijke en decentrale uitgangspunt van het beleid onaangetast blijven. Om te beginnen zou een jaarlijkse "structurele dialoog over de stand van zaken op het gebeid van cohesie in Europa" kunnen worden geïntegreerd in het Europees semester. De medewerking van lokale en regionale overheden en sociale partners moet worden gewaarborgd, evenals speelruimte bij de uitvoering van de ESIF ter plaatse. Dat geldt ook voor termijnen, de keuze van de coördinatieprocedures en de rechtszekerheid voor goedgekeurde plannen en programma's. Het CvdR pleit nogmaals voor afschaffing van een concept waarbij lokale en regionale overheden “bestraft” worden voor nalatigheden van de nationale regering. Bovendien mag het cohesiebeleid niet worden verzwaard met vereisten op de naleving waarvan lokale en regionale overheden en andere begunstigden geen enkele invloed kunnen uitoefenen.</w:t>
      </w:r>
    </w:p>
    <w:p w14:paraId="14DB372E" w14:textId="77777777" w:rsidR="00013E70" w:rsidRPr="003E3323" w:rsidRDefault="00013E70" w:rsidP="009A68ED">
      <w:pPr>
        <w:overflowPunct/>
        <w:adjustRightInd/>
        <w:textAlignment w:val="auto"/>
      </w:pPr>
    </w:p>
    <w:p w14:paraId="38E0A8D7" w14:textId="4293AF74" w:rsidR="00013E70" w:rsidRPr="003E3323" w:rsidRDefault="00013E70" w:rsidP="009A68ED">
      <w:pPr>
        <w:pStyle w:val="Kop1"/>
        <w:overflowPunct/>
        <w:adjustRightInd/>
        <w:ind w:left="567" w:hanging="567"/>
        <w:textAlignment w:val="auto"/>
      </w:pPr>
      <w:r w:rsidRPr="003E3323">
        <w:t>Het CvdR verzoekt de Commissie verslag uit te brengen over de integratie van het cohesiebeleid in de economische governance, aangezien tot dusver onvoldoende duidelijk is of en in hoeverre de operationele programma's en de nationale hervormingsprogramma's op elkaar kunnen worden afgestemd.</w:t>
      </w:r>
    </w:p>
    <w:p w14:paraId="092017F7" w14:textId="77777777" w:rsidR="00013E70" w:rsidRPr="003E3323" w:rsidRDefault="00013E70" w:rsidP="009A68ED">
      <w:pPr>
        <w:overflowPunct/>
        <w:adjustRightInd/>
        <w:textAlignment w:val="auto"/>
      </w:pPr>
    </w:p>
    <w:p w14:paraId="2F442623" w14:textId="52346328" w:rsidR="00013E70" w:rsidRPr="003E3323" w:rsidRDefault="00013E70" w:rsidP="009A68ED">
      <w:pPr>
        <w:keepNext/>
        <w:overflowPunct/>
        <w:adjustRightInd/>
        <w:textAlignment w:val="auto"/>
      </w:pPr>
      <w:r w:rsidRPr="003E3323">
        <w:t>Flexibiliteit met het oog op toekomstige uitdagingen</w:t>
      </w:r>
    </w:p>
    <w:p w14:paraId="676D0067" w14:textId="77777777" w:rsidR="00013E70" w:rsidRPr="003E3323" w:rsidRDefault="00013E70" w:rsidP="009A68ED">
      <w:pPr>
        <w:keepNext/>
        <w:overflowPunct/>
        <w:adjustRightInd/>
        <w:textAlignment w:val="auto"/>
      </w:pPr>
    </w:p>
    <w:p w14:paraId="5BB55492" w14:textId="74DFB5F1" w:rsidR="00013E70" w:rsidRPr="003E3323" w:rsidRDefault="00013E70" w:rsidP="009A68ED">
      <w:pPr>
        <w:pStyle w:val="Kop1"/>
        <w:overflowPunct/>
        <w:adjustRightInd/>
        <w:ind w:left="567" w:hanging="567"/>
        <w:textAlignment w:val="auto"/>
      </w:pPr>
      <w:r w:rsidRPr="003E3323">
        <w:t>De beslissingen over de toekomst van de Unie, het verdiepen van de economische en monetaire unie, de economische governance, de financiering van de EU en andere vraagstukken zullen van invloed zijn op zowel het toekomstige cohesiebeleid als op de lopende debatten over onderwerpen als subsidiariteit, betere regelgeving, efficiënt gebruik van de beschikbare middelen en effectbeoordeling. Hierbij komen ook thematische uitdagingen aan bod betreffende crisisbeheer, globalisering, migratie en demografische ontwikkelingen alsook in verband met veranderingen in de economie, de arbeidswereld en het onderwijs, vanwege de voortschrijdende digitalisering.</w:t>
      </w:r>
    </w:p>
    <w:p w14:paraId="567A471F" w14:textId="74FA5236" w:rsidR="00013E70" w:rsidRPr="003E3323" w:rsidRDefault="00013E70" w:rsidP="009A68ED">
      <w:pPr>
        <w:overflowPunct/>
        <w:adjustRightInd/>
        <w:textAlignment w:val="auto"/>
      </w:pPr>
    </w:p>
    <w:p w14:paraId="2C074130" w14:textId="59C84253" w:rsidR="00013E70" w:rsidRPr="003E3323" w:rsidRDefault="00013E70" w:rsidP="009A68ED">
      <w:pPr>
        <w:pStyle w:val="Kop1"/>
        <w:overflowPunct/>
        <w:adjustRightInd/>
        <w:ind w:left="567" w:hanging="567"/>
        <w:textAlignment w:val="auto"/>
      </w:pPr>
      <w:r w:rsidRPr="003E3323">
        <w:t xml:space="preserve">Daarom moet het cohesiebeleid in de komende programmeringsperiode nog flexibeler worden, zonder afbreuk te doen aan de strategische richting en de voorspelbaarheid van de meerjarige programma’s voor de regionale en lokale overheden. Daarnaast moet ervoor worden gezorgd dat beheersautoriteiten die dat wensen op korte termijn flexibel kunnen reageren op crises en onvoorziene gebeurtenissen, zonder dat daarbij van de uitgezette strategische koers wordt afgeweken. </w:t>
      </w:r>
    </w:p>
    <w:p w14:paraId="2D5C8882" w14:textId="5DFC0DE2" w:rsidR="00013E70" w:rsidRPr="003E3323" w:rsidRDefault="00013E70" w:rsidP="009A68ED">
      <w:pPr>
        <w:overflowPunct/>
        <w:adjustRightInd/>
        <w:textAlignment w:val="auto"/>
      </w:pPr>
    </w:p>
    <w:p w14:paraId="51EDB44C" w14:textId="644BCEB1" w:rsidR="00013E70" w:rsidRPr="003E3323" w:rsidRDefault="005E0366" w:rsidP="00916648">
      <w:pPr>
        <w:pStyle w:val="Kop1"/>
        <w:keepNext/>
        <w:keepLines/>
        <w:overflowPunct/>
        <w:adjustRightInd/>
        <w:ind w:left="567" w:hanging="567"/>
        <w:textAlignment w:val="auto"/>
      </w:pPr>
      <w:r w:rsidRPr="003E3323">
        <w:t>Grotere flexibiliteit in het meerjarig financieel kader van de EU mag er niet toe leiden dat de herschikking van middelen of nieuwe initiatieven ten koste gaan van reeds goedgekeurde programma's. Het CvdR verzet zich tegen het gebruik van cohesiemiddelen voor het tijdelijk opvullen van financiële lacunes op andere beleidsgebieden, met name op het gebied van veiligheid, terrorismebestrijding, beheer van migratiestromen, grenscontrole, enz.</w:t>
      </w:r>
    </w:p>
    <w:p w14:paraId="272AB5FB" w14:textId="36157696" w:rsidR="00013E70" w:rsidRPr="003E3323" w:rsidRDefault="00013E70" w:rsidP="009A68ED">
      <w:pPr>
        <w:overflowPunct/>
        <w:adjustRightInd/>
        <w:textAlignment w:val="auto"/>
      </w:pPr>
    </w:p>
    <w:p w14:paraId="2C942704" w14:textId="47233831" w:rsidR="00013E70" w:rsidRPr="003E3323" w:rsidRDefault="00013E70" w:rsidP="009A68ED">
      <w:pPr>
        <w:pStyle w:val="Kop1"/>
        <w:overflowPunct/>
        <w:adjustRightInd/>
        <w:ind w:left="567" w:hanging="567"/>
        <w:textAlignment w:val="auto"/>
      </w:pPr>
      <w:r w:rsidRPr="003E3323">
        <w:t>Voor een verhoging van de flexibiliteit en het reactievermogen van het cohesiebeleid zijn vereenvoudigde procedures voor de wijziging van operationele programma's, regelingen (ITI enz.) en instrumenten van cruciaal belang. Hiervoor moeten de voor de programma's, regelingen en instrumenten verantwoordelijke instanties op alle niveaus als partners in onderling vertrouwen samenwerken. Bij toekomstige plannen en programma's moet bovendien een “programmeringsreserve” voor experimentele of proefmaatregelen opzij worden gezet, die pas in de loop van de programmeringsperiode wordt toegewezen, telkens wanneer dit noodzakelijk is om aan de behoeften van het cohesiebeleid te voldoen.</w:t>
      </w:r>
    </w:p>
    <w:p w14:paraId="4AA98D35" w14:textId="77777777" w:rsidR="00013E70" w:rsidRPr="003E3323" w:rsidRDefault="00013E70" w:rsidP="009A68ED">
      <w:pPr>
        <w:overflowPunct/>
        <w:adjustRightInd/>
        <w:textAlignment w:val="auto"/>
      </w:pPr>
    </w:p>
    <w:p w14:paraId="659B1267" w14:textId="2228D924" w:rsidR="00013E70" w:rsidRPr="003E3323" w:rsidRDefault="00013E70" w:rsidP="009A68ED">
      <w:pPr>
        <w:pStyle w:val="Kop1"/>
        <w:overflowPunct/>
        <w:adjustRightInd/>
        <w:ind w:left="567" w:hanging="567"/>
        <w:textAlignment w:val="auto"/>
      </w:pPr>
      <w:r w:rsidRPr="003E3323">
        <w:t>Het CvdR verzoekt de Commissie om voor de komende programmeringsperiode een vereenvoudigde procedure voor de wijziging van plannen en programma's voor te stellen die het mogelijk maakt om flexibel en doelgericht op crisissituaties of onvoorziene ontwikkelingen te reageren en die in het bijzonder ook de coördinatie tussen de Commissiediensten vergemakkelijkt en bespoedigt.</w:t>
      </w:r>
    </w:p>
    <w:p w14:paraId="091DE5B1" w14:textId="5D965837" w:rsidR="00013E70" w:rsidRPr="003E3323" w:rsidRDefault="00013E70" w:rsidP="009A68ED">
      <w:pPr>
        <w:overflowPunct/>
        <w:adjustRightInd/>
        <w:textAlignment w:val="auto"/>
      </w:pPr>
    </w:p>
    <w:p w14:paraId="5B017CD5" w14:textId="7FCBF049" w:rsidR="00013E70" w:rsidRPr="003E3323" w:rsidRDefault="00013E70" w:rsidP="009A68ED">
      <w:pPr>
        <w:pStyle w:val="Kop1"/>
        <w:overflowPunct/>
        <w:adjustRightInd/>
        <w:ind w:left="567" w:hanging="567"/>
        <w:textAlignment w:val="auto"/>
      </w:pPr>
      <w:r w:rsidRPr="003E3323">
        <w:t>Het is van essentieel belang om te waarborgen dat multilevel governance en de "bottom-up"-benadering door middel van gedeeld beheer ook bij nieuwe uitdagingen en onvoorziene ontwikkelingen functioneren, het subsidiariteitsbeginsel volledig in acht nemen en centralistische tendensen tegengaan om ter plaatse efficiënte pasklare oplossingen uit te werken.</w:t>
      </w:r>
    </w:p>
    <w:p w14:paraId="3388FDC5" w14:textId="77777777" w:rsidR="00013E70" w:rsidRPr="003E3323" w:rsidRDefault="00013E70" w:rsidP="009A68ED">
      <w:pPr>
        <w:overflowPunct/>
        <w:adjustRightInd/>
        <w:textAlignment w:val="auto"/>
      </w:pPr>
    </w:p>
    <w:p w14:paraId="297C4A5B" w14:textId="0A9ED935" w:rsidR="00013E70" w:rsidRPr="003E3323" w:rsidRDefault="00013E70" w:rsidP="009A68ED">
      <w:pPr>
        <w:keepNext/>
        <w:overflowPunct/>
        <w:adjustRightInd/>
        <w:textAlignment w:val="auto"/>
      </w:pPr>
      <w:r w:rsidRPr="003E3323">
        <w:t>Doeltreffende en dus resultaatgerichte uitvoering</w:t>
      </w:r>
    </w:p>
    <w:p w14:paraId="6A9CEFAF" w14:textId="0857E6FB" w:rsidR="00013E70" w:rsidRPr="003E3323" w:rsidRDefault="00013E70" w:rsidP="009A68ED">
      <w:pPr>
        <w:keepNext/>
        <w:overflowPunct/>
        <w:adjustRightInd/>
        <w:textAlignment w:val="auto"/>
      </w:pPr>
    </w:p>
    <w:p w14:paraId="21A40AE8" w14:textId="24222126" w:rsidR="00013E70" w:rsidRPr="003E3323" w:rsidRDefault="00013E70" w:rsidP="009A68ED">
      <w:pPr>
        <w:pStyle w:val="Kop1"/>
        <w:overflowPunct/>
        <w:adjustRightInd/>
        <w:ind w:left="567" w:hanging="567"/>
        <w:textAlignment w:val="auto"/>
      </w:pPr>
      <w:r w:rsidRPr="003E3323">
        <w:t>Het cohesiebeleid is sinds geruime tijd een van de EU-beleidsterreinen die het meest aan nauwkeurige metingen en grondige analysen worden onderworpen. In de periodieke verslagen van de Commissie wordt een gedetailleerd overzicht gegeven van de resultaten van dat beleid. Er zijn tal van regio's die op grond van de steun uit de ESIF in staat zijn gebleken hun individuele ontwikkelingsachterstand in te lopen en de kloof met het EU-gemiddelde te overbruggen en die als gevolg van die positieve ontwikkeling niet meer onder de hoogste steuncategorie vallen. Dat de doelstellingen van het cohesiebeleid gerealiseerd worden is ook bij de ex-postevaluatie van het EFRO en het Cohesiefonds over de periode 2007-2013 gebleken.</w:t>
      </w:r>
    </w:p>
    <w:p w14:paraId="2D432333" w14:textId="77777777" w:rsidR="00013E70" w:rsidRPr="003E3323" w:rsidRDefault="00013E70" w:rsidP="009A68ED">
      <w:pPr>
        <w:overflowPunct/>
        <w:adjustRightInd/>
        <w:textAlignment w:val="auto"/>
      </w:pPr>
    </w:p>
    <w:p w14:paraId="03AA28DB" w14:textId="31057C85" w:rsidR="00013E70" w:rsidRPr="003E3323" w:rsidRDefault="00013E70" w:rsidP="009A68ED">
      <w:pPr>
        <w:pStyle w:val="Kop1"/>
        <w:overflowPunct/>
        <w:adjustRightInd/>
        <w:ind w:left="567" w:hanging="567"/>
        <w:textAlignment w:val="auto"/>
      </w:pPr>
      <w:r w:rsidRPr="003E3323">
        <w:t>De algehele structuur van het cohesiebeleid met de indeling in drie categorieën steunregio's – meer ontwikkelde regio's, overgangsregio's en minder ontwikkelde regio's – heeft haar waarde bewezen en moet worden gehandhaafd. Die structuur berust op een duidelijke afbakening, maar is flexibel genoeg om in te spelen op nieuwe uitdagingen, zwaartepunten, instrumenten en indicatoren. De indeling in steunregio's strookt met de doelstelling van het cohesiebeleid om de steun voor de meest achtergebleven regio's en probleemregio's te combineren met steunmogelijkheden voor alle regio's, teneinde een harmonieuze ontwikkeling van de EU als geheel te bevorderen.</w:t>
      </w:r>
    </w:p>
    <w:p w14:paraId="31EE1E6B" w14:textId="7B5C81F3" w:rsidR="00013E70" w:rsidRPr="003E3323" w:rsidRDefault="00013E70" w:rsidP="009A68ED">
      <w:pPr>
        <w:overflowPunct/>
        <w:adjustRightInd/>
        <w:textAlignment w:val="auto"/>
      </w:pPr>
    </w:p>
    <w:p w14:paraId="1711C5F1" w14:textId="1181441E" w:rsidR="00013E70" w:rsidRPr="003E3323" w:rsidRDefault="00013E70" w:rsidP="009A68ED">
      <w:pPr>
        <w:pStyle w:val="Kop1"/>
        <w:overflowPunct/>
        <w:adjustRightInd/>
        <w:ind w:left="567" w:hanging="567"/>
        <w:textAlignment w:val="auto"/>
      </w:pPr>
      <w:r w:rsidRPr="003E3323">
        <w:t xml:space="preserve">Het CvdR herhaalt zijn standpunt dat de minst ontwikkelde en meest benadeelde en ultraperifere gebieden ook in de toekomst meer zullen moeten worden gesteund opdat hun structurele tekortkomingen op middellange en lange termijn kunnen worden verholpen. Hierop moet de nadruk blijven liggen bij de uitvoering van de ESIF. Tegelijkertijd is het noodzakelijk om voor de regio's die niet meer onder de hoogste steuncategorie vallen, in passende regelingen in het kader van de overgangscategorie te voorzien, om ervoor te zorgen dat de geboekte vooruitgang niet verloren gaat. Er moet naar een oplossing worden gezocht die kan voorkomen dat er een ingrijpende wijziging optreedt van de reikwijdte van de cohesiebeleidsmaatregelen voor de regio’s die de drempel voor de overgangscategorie enigszins overschrijden. Meer ontwikkelde regio's moeten in hun rol van aanjagers van groei in de regionale ontwikkeling worden gestimuleerd en gesteund zodat zij de mogelijkheden waarover zij beschikken, kunnen benutten en mondiaal kunnen concurreren. Het algemene model moet derhalve een model zijn dat een evenwichtige verhouding tussen cohesie en convergentie ondersteunt. </w:t>
      </w:r>
    </w:p>
    <w:p w14:paraId="1FE36494" w14:textId="26CC4DDC" w:rsidR="00013E70" w:rsidRPr="003E3323" w:rsidRDefault="00013E70" w:rsidP="009A68ED">
      <w:pPr>
        <w:overflowPunct/>
        <w:adjustRightInd/>
        <w:textAlignment w:val="auto"/>
      </w:pPr>
    </w:p>
    <w:p w14:paraId="719633D1" w14:textId="6A30633F" w:rsidR="00013E70" w:rsidRPr="003E3323" w:rsidRDefault="00013E70" w:rsidP="009A68ED">
      <w:pPr>
        <w:pStyle w:val="Kop1"/>
        <w:overflowPunct/>
        <w:adjustRightInd/>
        <w:ind w:left="567" w:hanging="567"/>
        <w:textAlignment w:val="auto"/>
      </w:pPr>
      <w:r w:rsidRPr="003E3323">
        <w:t>Het CvdR herinnert onder verwijzing naar zijn adviezen en de bijdragen van de Commissie over het thema "Het bbp en verder" aan de noodzaak om het cohesiebeleid op basis van betrouwbare, vergelijkbare en gedegen statistieken uit te werken en uit te voeren. Het regionale bruto binnenlands product, gemeten in koopkrachtpariteiten in verhouding tot het EU-gemiddelde, heeft zijn nut als kernindicator voor de regio-indeling bewezen en dient als zodanig te worden gehandhaafd. Daarom heeft het CvdR benadrukt dat de bbp-aanvullende maatregelen dringend moeten worden opgenomen in de nieuwe generatie van de Europese Structuur- en Investeringsfondsen in de volgende meerjarige financiële periode. Voor de toewijzing van middelen moeten bijgevolg aanvullende uniforme en coherente criteria betreffende de arbeidsmarkt en specifieke uitdagingen en mogelijkheden (bijv. van sociale, ecologische, geografische, natuurlijke of demografische aard) worden toegepast.</w:t>
      </w:r>
    </w:p>
    <w:p w14:paraId="2A4EBFA7" w14:textId="4EE0B837" w:rsidR="00013E70" w:rsidRPr="003E3323" w:rsidRDefault="00013E70" w:rsidP="009A68ED">
      <w:pPr>
        <w:overflowPunct/>
        <w:adjustRightInd/>
        <w:textAlignment w:val="auto"/>
      </w:pPr>
    </w:p>
    <w:p w14:paraId="2A1B44B5" w14:textId="22832D00" w:rsidR="00013E70" w:rsidRPr="003E3323" w:rsidRDefault="00013E70" w:rsidP="009A68ED">
      <w:pPr>
        <w:pStyle w:val="Kop1"/>
        <w:overflowPunct/>
        <w:adjustRightInd/>
        <w:ind w:left="567" w:hanging="567"/>
        <w:textAlignment w:val="auto"/>
      </w:pPr>
      <w:r w:rsidRPr="003E3323">
        <w:t>Er zij op gewezen dat zuiver statistische effecten, zoals die welke zich bij het vertrek van het Verenigd Koninkrijk uit de Unie zouden kunnen voordoen, er niet toe mogen leiden dat een EU27-regio zijn classificatie van minder ontwikkelde of overgangsregio kwijtraakt aangezien dit niets verandert aan de sociaaleconomische situatie in de betrokken regio's; daarom zou de Europese Commissie stevige voorstellen moeten formuleren om in de ESIF-verordeningen na 2020 rekening te houden met deze statistische effecten of het ‘vangnetbeginsel’ op te nemen.</w:t>
      </w:r>
    </w:p>
    <w:p w14:paraId="7327A1D4" w14:textId="3C8DFB97" w:rsidR="00013E70" w:rsidRPr="003E3323" w:rsidRDefault="00013E70" w:rsidP="009A68ED">
      <w:pPr>
        <w:overflowPunct/>
        <w:adjustRightInd/>
        <w:textAlignment w:val="auto"/>
      </w:pPr>
    </w:p>
    <w:p w14:paraId="59163382" w14:textId="6C746454" w:rsidR="00677157" w:rsidRPr="003E3323" w:rsidRDefault="00406A78" w:rsidP="00AE36B1">
      <w:pPr>
        <w:pStyle w:val="Kop1"/>
        <w:overflowPunct/>
        <w:adjustRightInd/>
        <w:ind w:left="567" w:hanging="567"/>
        <w:textAlignment w:val="auto"/>
      </w:pPr>
      <w:r w:rsidRPr="003E3323">
        <w:t>Het CvdR verzoekt het VK en de EU om overeen te komen dat Britse regionale en lokale overheden, net als niet-lidstaten zoals Noorwegen en IJsland, mogen blijven deelnemen aan Europese territoriale samenwerking en andere EU-programma’s.</w:t>
      </w:r>
    </w:p>
    <w:p w14:paraId="753CC9A6" w14:textId="4A45DF5A" w:rsidR="00677157" w:rsidRPr="003E3323" w:rsidRDefault="00677157" w:rsidP="009A68ED">
      <w:pPr>
        <w:overflowPunct/>
        <w:adjustRightInd/>
        <w:textAlignment w:val="auto"/>
      </w:pPr>
    </w:p>
    <w:p w14:paraId="4BB95F06" w14:textId="5A0BE1DF" w:rsidR="002953AF" w:rsidRPr="003E3323" w:rsidRDefault="002953AF" w:rsidP="00AE36B1">
      <w:pPr>
        <w:pStyle w:val="Kop1"/>
        <w:overflowPunct/>
        <w:adjustRightInd/>
        <w:ind w:left="567" w:hanging="567"/>
        <w:textAlignment w:val="auto"/>
      </w:pPr>
      <w:r w:rsidRPr="003E3323">
        <w:t>Het CvdR wijst op de behoefte aan thematische concentratie om voor echte lokale impact te zorgen. De keuze van thematische doelstellingen hoeft echter niet overal in de EU dezelfde zijn; belangrijk is dat de doelstellingen relevant zijn en de reële lokale problemen in elke regio aanpakken.</w:t>
      </w:r>
    </w:p>
    <w:p w14:paraId="58619520" w14:textId="01B22B9B" w:rsidR="002953AF" w:rsidRPr="003E3323" w:rsidRDefault="002953AF" w:rsidP="009A68ED">
      <w:pPr>
        <w:overflowPunct/>
        <w:adjustRightInd/>
        <w:textAlignment w:val="auto"/>
      </w:pPr>
    </w:p>
    <w:p w14:paraId="591E6315" w14:textId="54AA2818" w:rsidR="007B1784" w:rsidRPr="003E3323" w:rsidRDefault="007B1784" w:rsidP="00AE36B1">
      <w:pPr>
        <w:pStyle w:val="Kop1"/>
        <w:overflowPunct/>
        <w:adjustRightInd/>
        <w:ind w:left="567" w:hanging="567"/>
        <w:textAlignment w:val="auto"/>
      </w:pPr>
      <w:r w:rsidRPr="003E3323">
        <w:t>Het CvdR dringt aan op een ‘plaatsgerichte’ aanpak als uitgangspunt van de ESI-fondsen. Het beleid en de maatregelen van de EU moeten gericht zijn op de lokale problemen, ongeacht of het om een stedelijk of plattelandsgebied gaat of een gebied met andere geografische kenmerken.</w:t>
      </w:r>
    </w:p>
    <w:p w14:paraId="70AF4C1A" w14:textId="54DAA306" w:rsidR="007B1784" w:rsidRPr="003E3323" w:rsidRDefault="007B1784" w:rsidP="009A68ED">
      <w:pPr>
        <w:overflowPunct/>
        <w:adjustRightInd/>
        <w:textAlignment w:val="auto"/>
      </w:pPr>
    </w:p>
    <w:p w14:paraId="00C4DBDF" w14:textId="14E51C9A" w:rsidR="00464B89" w:rsidRPr="003E3323" w:rsidRDefault="00464B89" w:rsidP="00AE36B1">
      <w:pPr>
        <w:pStyle w:val="Kop1"/>
        <w:overflowPunct/>
        <w:adjustRightInd/>
        <w:ind w:left="567" w:hanging="567"/>
        <w:textAlignment w:val="auto"/>
      </w:pPr>
      <w:r w:rsidRPr="003E3323">
        <w:t>Een van de belangrijkste redenen waarom veel lokale en regionale overheden moeite hebben met een succesvolle uitvoering van de ESI-programma's is het gebrek aan voldoende capaciteit en krachtig bestuur. Daarom pleit het CvdR voor een nieuwe aanpak van capaciteitsopbouw voor alle ESI-fondsen voor alle overheidsinstanties die belast zijn met het beheer of de uitvoering van ESI-fondsen. Zo wordt ervoor gezorgd dat het financieel beheer gedegen is, dat de regels voor overheidsopdrachten en staatssteun naar behoren worden toegepast en dat de kennisoverdracht tussen beheers- en uitvoerende instanties soepeler verloopt.</w:t>
      </w:r>
    </w:p>
    <w:p w14:paraId="4DC18BA2" w14:textId="741CBA88" w:rsidR="00464B89" w:rsidRPr="003E3323" w:rsidRDefault="00464B89" w:rsidP="009A68ED">
      <w:pPr>
        <w:overflowPunct/>
        <w:adjustRightInd/>
        <w:textAlignment w:val="auto"/>
      </w:pPr>
    </w:p>
    <w:p w14:paraId="44100F9B" w14:textId="34870BB3" w:rsidR="00013E70" w:rsidRPr="003E3323" w:rsidRDefault="00013E70" w:rsidP="009A68ED">
      <w:pPr>
        <w:pStyle w:val="Kop1"/>
        <w:overflowPunct/>
        <w:adjustRightInd/>
        <w:ind w:left="567" w:hanging="567"/>
        <w:textAlignment w:val="auto"/>
      </w:pPr>
      <w:r w:rsidRPr="003E3323">
        <w:t xml:space="preserve">Het CvdR erkent dat de uitvoering van de ESIF in de toekomst doeltreffender en efficiënter moet worden. Het CvdR staat positief tegenover het behoud van de thematische focus. De thematische doelstellingen van het cohesiebeleid na 2020 mogen de financiële ondersteuning van de infrastructuur die van belang is voor de prioritaire thema's niet beletten wanneer deze noodzakelijk is en moeten in de nodige flexibiliteit voorzien, onder meer door in te spelen op nieuwe uitdagingen en het territoriale aspect van cohesie te versterken. Dit moet de burgers een beter inzicht geven in de beslissingen over de subsidiabiliteit van projecten. </w:t>
      </w:r>
    </w:p>
    <w:p w14:paraId="530404FA" w14:textId="3B52E59B" w:rsidR="005E0366" w:rsidRPr="003E3323" w:rsidRDefault="005E0366" w:rsidP="009A68ED">
      <w:pPr>
        <w:overflowPunct/>
        <w:adjustRightInd/>
        <w:ind w:left="567"/>
        <w:textAlignment w:val="auto"/>
      </w:pPr>
    </w:p>
    <w:p w14:paraId="16C9E92A" w14:textId="4B59DE04" w:rsidR="005E0366" w:rsidRPr="003E3323" w:rsidRDefault="005E0366" w:rsidP="009A68ED">
      <w:pPr>
        <w:pStyle w:val="Kop1"/>
        <w:overflowPunct/>
        <w:adjustRightInd/>
        <w:ind w:left="567" w:hanging="567"/>
        <w:textAlignment w:val="auto"/>
      </w:pPr>
      <w:r w:rsidRPr="003E3323">
        <w:t>De effectiviteit van de ESIF moet in de eerste plaats worden gemeten aan de hand van de in de fondsenverordeningen vastgestelde, voor de hele Unie geldende criteria. Voor de opstelling en uitvoering van plannen en programma's moet tijdig vóór aanvang van de nieuwe programmeringsperiode in samenwerking met de voor de uitvoering van de ESIF verantwoordelijke instanties een beperkt aantal economische, sociale en milieu-indicatoren en geselecteerde ex-ante-conditionaliteiten worden ontwikkeld met behulp waarvan de vooruitgang van het cohesiebeleid en de door de programma's behaalde resultaten naar behoren kunnen worden gemeten zodat bij het bepalen van de nieuwe programmeringskeuzes kan worden uitgegaan van de lessen die tijdens de vorige cyclus zijn geleerd. Bij dit proces moet niet alleen rekening worden gehouden met de nationale omstandigheden maar ook met de verschillende lokale en regionale omstandigheden.</w:t>
      </w:r>
    </w:p>
    <w:p w14:paraId="373384C0" w14:textId="0A30AD4E" w:rsidR="00013E70" w:rsidRPr="003E3323" w:rsidRDefault="00013E70" w:rsidP="009A68ED">
      <w:pPr>
        <w:overflowPunct/>
        <w:adjustRightInd/>
        <w:textAlignment w:val="auto"/>
      </w:pPr>
    </w:p>
    <w:p w14:paraId="4E78929D" w14:textId="3BD89E01" w:rsidR="00013E70" w:rsidRPr="003E3323" w:rsidRDefault="00013E70" w:rsidP="009A68ED">
      <w:pPr>
        <w:pStyle w:val="Kop1"/>
        <w:overflowPunct/>
        <w:adjustRightInd/>
        <w:ind w:left="567" w:hanging="567"/>
        <w:textAlignment w:val="auto"/>
      </w:pPr>
      <w:r w:rsidRPr="003E3323">
        <w:t>Het CvdR acht het wenselijk dat de operationele programma's die op basis van de indicatoren en in het kader van het onderhandelingsproces worden opgezet, vooral de vorm aannemen van strategische documenten. De Commissie dient de uitvoering van die programma's via een strategische partnerschapsdialoog met de regio's en lokale overheden te begeleiden. Daarbij is het zaak dat het vaststellen van bindende doelstellingen en bijbehorende prestatie-indicatoren prioriteit krijgt en moeten lokale en regionale overheden conform de idee van multilevel governance de meest geschikte maatregelen kunnen uitkiezen en uitvoeren.</w:t>
      </w:r>
    </w:p>
    <w:p w14:paraId="6E8C88DA" w14:textId="77777777" w:rsidR="00013E70" w:rsidRPr="003E3323" w:rsidRDefault="00013E70" w:rsidP="009A68ED">
      <w:pPr>
        <w:overflowPunct/>
        <w:adjustRightInd/>
        <w:textAlignment w:val="auto"/>
      </w:pPr>
    </w:p>
    <w:p w14:paraId="206B02EB" w14:textId="60B60080" w:rsidR="00013E70" w:rsidRPr="003E3323" w:rsidRDefault="00013E70" w:rsidP="009A68ED">
      <w:pPr>
        <w:keepNext/>
        <w:overflowPunct/>
        <w:adjustRightInd/>
        <w:textAlignment w:val="auto"/>
      </w:pPr>
      <w:r w:rsidRPr="003E3323">
        <w:t>Europese meerwaarde als criterium voor de besteding van EU-middelen</w:t>
      </w:r>
    </w:p>
    <w:p w14:paraId="0D428E50" w14:textId="77777777" w:rsidR="00013E70" w:rsidRPr="003E3323" w:rsidRDefault="00013E70" w:rsidP="009A68ED">
      <w:pPr>
        <w:keepNext/>
        <w:overflowPunct/>
        <w:adjustRightInd/>
        <w:textAlignment w:val="auto"/>
      </w:pPr>
    </w:p>
    <w:p w14:paraId="4D5A5C6B" w14:textId="28F8F5FA" w:rsidR="00013E70" w:rsidRPr="003E3323" w:rsidRDefault="00013E70" w:rsidP="009A68ED">
      <w:pPr>
        <w:pStyle w:val="Kop1"/>
        <w:overflowPunct/>
        <w:adjustRightInd/>
        <w:ind w:left="567" w:hanging="567"/>
        <w:textAlignment w:val="auto"/>
      </w:pPr>
      <w:r w:rsidRPr="003E3323">
        <w:t>Europese meerwaarde is ongetwijfeld een van de belangrijkste criteria voor een doeltreffende besteding van EU-middelen, en dus ook voor het welslagen van het cohesiebeleid. Er bestaat hier echter geen eenduidige definitie. Voor het toekomstige cohesiebeleid zou het daarom goed zijn dat specifieke criteria, aan de hand waarvan de Europese meerwaarde van het cohesiebeleid moet worden bepaald, samen met de fondsenverordeningen worden besproken en vervolgens worden aangenomen.</w:t>
      </w:r>
    </w:p>
    <w:p w14:paraId="1E98480B" w14:textId="1EB30A83" w:rsidR="00013E70" w:rsidRPr="003E3323" w:rsidRDefault="00013E70" w:rsidP="009A68ED">
      <w:pPr>
        <w:overflowPunct/>
        <w:adjustRightInd/>
        <w:textAlignment w:val="auto"/>
      </w:pPr>
    </w:p>
    <w:p w14:paraId="2F1F131C" w14:textId="18143185" w:rsidR="00013E70" w:rsidRPr="003E3323" w:rsidRDefault="00013E70" w:rsidP="009A68ED">
      <w:pPr>
        <w:pStyle w:val="Kop1"/>
        <w:overflowPunct/>
        <w:adjustRightInd/>
        <w:ind w:left="567" w:hanging="567"/>
        <w:textAlignment w:val="auto"/>
      </w:pPr>
      <w:r w:rsidRPr="003E3323">
        <w:t>Daarom moet een gecoördineerde aanpak worden ontwikkeld om de Europese meerwaarde van de maatregelen van het cohesiebeleid te kunnen meten. In dit verband wordt verwezen naar de studie "The EU Added Value Test to Justify EU Spending: What Impact for Regions and Local Authorities?"</w:t>
      </w:r>
      <w:r w:rsidRPr="003E3323">
        <w:rPr>
          <w:rStyle w:val="Voetnootmarkering"/>
        </w:rPr>
        <w:footnoteReference w:id="1"/>
      </w:r>
      <w:r w:rsidRPr="003E3323">
        <w:t xml:space="preserve"> Essentiële criteria zijn onder meer de impulsen die door het gebruik van EU-middelen kunnen worden gegeven aan de verwezenlijking van de in het Verdrag verankerde doelstellingen van het cohesiebeleid, aan duurzame groei, werkgelegenheid en sociale samenhang en de bijdrage ervan aan het aanpakken van gemeenschappelijke uitdagingen. Hierbij moet ook rekening worden gehouden met het feit dat een territoriale benadering op die gebieden effectiever is en door zijn decentrale aanpak ook ten opzichte van sectorale of centrale steun- en financieringsinstrumenten meerwaarde oplevert.</w:t>
      </w:r>
    </w:p>
    <w:p w14:paraId="562CEB71" w14:textId="7DE2A9BA" w:rsidR="00013E70" w:rsidRPr="003E3323" w:rsidRDefault="00013E70" w:rsidP="009A68ED">
      <w:pPr>
        <w:overflowPunct/>
        <w:adjustRightInd/>
        <w:textAlignment w:val="auto"/>
      </w:pPr>
    </w:p>
    <w:p w14:paraId="145138D4" w14:textId="5789C6EC" w:rsidR="00013E70" w:rsidRPr="003E3323" w:rsidRDefault="00013E70" w:rsidP="009A68ED">
      <w:pPr>
        <w:pStyle w:val="Kop1"/>
        <w:overflowPunct/>
        <w:adjustRightInd/>
        <w:ind w:left="567" w:hanging="567"/>
        <w:textAlignment w:val="auto"/>
      </w:pPr>
      <w:r w:rsidRPr="003E3323">
        <w:t>Het CvdR stelt in dit verband voor dat een dergelijke aanpak wordt gebaseerd op de sterke punten van het cohesiebeleid. Daaronder zijn onder meer te verstaan de bestrijding van sociaaleconomische ongelijkheid, het anticyclische effect van overheidsinvesteringen, dat bijdraagt aan en bevorderlijk is voor stabiele groei en crisisbeheersing, de belangrijke rol bij de verwezenlijking van de gemeenschappelijke EU-doelstellingen, resultaatgerichte stimulansen en mechanismen, de positieve invloed op de lokale kwaliteit van bestuurscapaciteiten, de Europese en grensoverschrijdende dimensie en multilevel governance en de "bottom-up"-benadering.</w:t>
      </w:r>
    </w:p>
    <w:p w14:paraId="0AFDCA47" w14:textId="6047F7B4" w:rsidR="00013E70" w:rsidRPr="003E3323" w:rsidRDefault="00013E70" w:rsidP="009A68ED">
      <w:pPr>
        <w:overflowPunct/>
        <w:adjustRightInd/>
        <w:textAlignment w:val="auto"/>
      </w:pPr>
    </w:p>
    <w:p w14:paraId="4545AE2E" w14:textId="71B63C53" w:rsidR="00013E70" w:rsidRPr="003E3323" w:rsidRDefault="00013E70" w:rsidP="009A68ED">
      <w:pPr>
        <w:pStyle w:val="Kop1"/>
        <w:overflowPunct/>
        <w:adjustRightInd/>
        <w:ind w:left="567" w:hanging="567"/>
        <w:textAlignment w:val="auto"/>
      </w:pPr>
      <w:r w:rsidRPr="003E3323">
        <w:t>De territoriale dimensie van het cohesiebeleid maakt het mogelijk om maatregelen ten uitvoer te leggen die de lidstaten, de regio's en de lokale overheden overeenkomstig het subsidiariteitsbeginsel niet in voldoende mate alleen kunnen realiseren, zoals maatregelen op het gebied van grensoverschrijdende, transnationale en interregionale samenwerking.</w:t>
      </w:r>
    </w:p>
    <w:p w14:paraId="1D37F0E2" w14:textId="047B4D9E" w:rsidR="00013E70" w:rsidRPr="003E3323" w:rsidRDefault="00013E70" w:rsidP="009A68ED">
      <w:pPr>
        <w:overflowPunct/>
        <w:adjustRightInd/>
        <w:textAlignment w:val="auto"/>
      </w:pPr>
    </w:p>
    <w:p w14:paraId="7D30514D" w14:textId="42BCDE9E" w:rsidR="001A11F5" w:rsidRPr="003E3323" w:rsidRDefault="001A11F5" w:rsidP="00AE36B1">
      <w:pPr>
        <w:pStyle w:val="Kop1"/>
        <w:overflowPunct/>
        <w:adjustRightInd/>
        <w:ind w:left="567" w:hanging="567"/>
        <w:textAlignment w:val="auto"/>
      </w:pPr>
      <w:r w:rsidRPr="003E3323">
        <w:t>Een complexere regelgeving zorgt voor een zwaardere werklast voor de actoren, waaronder de initiatiefnemers van projecten. Het CvdR raadt aan om de voorkeur te geven aan een prestatiegestuurd cohesiebeleid waarbij waarde wordt gehecht aan de resultaten. Voorts heeft het CvdR zijn bedenkingen bij het belang van de prestatiereserve, aangezien de tenuitvoerleggingsmodaliteiten geen rekening houden met de resultaten en gevolgen op de lange termijn.</w:t>
      </w:r>
    </w:p>
    <w:p w14:paraId="687BF9B3" w14:textId="18BD7978" w:rsidR="001A11F5" w:rsidRPr="003E3323" w:rsidRDefault="001A11F5" w:rsidP="009A68ED">
      <w:pPr>
        <w:overflowPunct/>
        <w:adjustRightInd/>
        <w:textAlignment w:val="auto"/>
      </w:pPr>
    </w:p>
    <w:p w14:paraId="0620BD3C" w14:textId="4DBD077C" w:rsidR="00013E70" w:rsidRPr="003E3323" w:rsidRDefault="00013E70" w:rsidP="009A68ED">
      <w:pPr>
        <w:pStyle w:val="Kop1"/>
        <w:overflowPunct/>
        <w:adjustRightInd/>
        <w:ind w:left="567" w:hanging="567"/>
        <w:textAlignment w:val="auto"/>
      </w:pPr>
      <w:r w:rsidRPr="003E3323">
        <w:t>Het CvdR herhaalt in dit verband dat zwakkere lidstaten en regio's pas dankzij de steun van de instrumenten van het cohesiebeleid in staat zijn de Europese meerwaarde van integratie voor zichzelf te ontdekken. Tegelijkertijd maakt deze steun het de sterkere gebieden mogelijk om de mondiale uitdagingen optimaal het hoofd te bieden. Door het cohesiebeleid raken regio's en gemeenten meer verbonden met het Europese project en het cohesiebeleid geeft de EU legitimiteit op lokaal en regionaal niveau.</w:t>
      </w:r>
    </w:p>
    <w:p w14:paraId="310863F1" w14:textId="4DEE9B1C" w:rsidR="00013E70" w:rsidRPr="003E3323" w:rsidRDefault="00013E70" w:rsidP="009A68ED">
      <w:pPr>
        <w:overflowPunct/>
        <w:adjustRightInd/>
        <w:textAlignment w:val="auto"/>
      </w:pPr>
    </w:p>
    <w:p w14:paraId="29EED06C" w14:textId="4F174F4A" w:rsidR="00013E70" w:rsidRPr="003E3323" w:rsidRDefault="00013E70" w:rsidP="009A68ED">
      <w:pPr>
        <w:pStyle w:val="Kop1"/>
        <w:overflowPunct/>
        <w:adjustRightInd/>
        <w:ind w:left="567" w:hanging="567"/>
        <w:textAlignment w:val="auto"/>
      </w:pPr>
      <w:r w:rsidRPr="003E3323">
        <w:t>Daarom moet aan de hand van passende communicatieactiviteiten de zichtbaarheid van maatregelen van het cohesiebeleid duidelijk in de schijnwerpers worden gezet. Zij behoren immers tot de onmiskenbare voordelen van de Europese integratie voor burgers op lokaal niveau. Regio's en steden kunnen hier ook een belangrijke bijdrage aan leveren. De economische, sociale, culturele en politieke effecten van het cohesiebeleid, evenals de resultaten op het gebied van ruimtelijke ordening en milieu, moeten onder de aandacht worden gebracht. Daarnaast moet het potentieel van het cohesiebeleid om de Europese identiteitscrisis te bezweren worden benut, aangezien er overtuigend bewijs is van de langetermijnresultaten en de meerwaarde van dit beleid.</w:t>
      </w:r>
    </w:p>
    <w:p w14:paraId="2B041920" w14:textId="77777777" w:rsidR="00013E70" w:rsidRPr="003E3323" w:rsidRDefault="00013E70" w:rsidP="009A68ED">
      <w:pPr>
        <w:overflowPunct/>
        <w:adjustRightInd/>
        <w:textAlignment w:val="auto"/>
      </w:pPr>
    </w:p>
    <w:p w14:paraId="5744B272" w14:textId="5FEB91EF" w:rsidR="00013E70" w:rsidRPr="003E3323" w:rsidRDefault="00013E70" w:rsidP="009A68ED">
      <w:pPr>
        <w:keepNext/>
        <w:overflowPunct/>
        <w:adjustRightInd/>
        <w:textAlignment w:val="auto"/>
      </w:pPr>
      <w:r w:rsidRPr="003E3323">
        <w:t>Territoriale dimensie en multilevel governance met het oog op versterking van de rol van lokale en regionale overheden</w:t>
      </w:r>
    </w:p>
    <w:p w14:paraId="72CF8D01" w14:textId="468E0441" w:rsidR="00013E70" w:rsidRPr="003E3323" w:rsidRDefault="00013E70" w:rsidP="009A68ED">
      <w:pPr>
        <w:keepNext/>
        <w:overflowPunct/>
        <w:adjustRightInd/>
        <w:textAlignment w:val="auto"/>
      </w:pPr>
    </w:p>
    <w:p w14:paraId="1F61523B" w14:textId="4C49AB84" w:rsidR="00013E70" w:rsidRPr="003E3323" w:rsidRDefault="00013E70" w:rsidP="009A68ED">
      <w:pPr>
        <w:pStyle w:val="Kop1"/>
        <w:overflowPunct/>
        <w:adjustRightInd/>
        <w:ind w:left="567" w:hanging="567"/>
        <w:textAlignment w:val="auto"/>
      </w:pPr>
      <w:r w:rsidRPr="003E3323">
        <w:t>Het cohesiebeleid ondersteunt met zijn territoriale uitgangspunt de Europese regio's en gemeenten bij toekomstgerichte investeringen voor de versterking van concurrentievermogen, werkgelegenheid en levenslang leren, alsook voor de totstandbrenging van netwerken, interregionale samenwerking en de uitwisseling van ervaring door heel Europa. Het is het enige EU-beleid met een regionale focus op basis van multilevel governance. Daarom moet alles in het werk worden gesteld om de territoriale dimensie van het cohesiebeleid en de rol van de regionale overheden in het beleidsbeheer verder te versterken.</w:t>
      </w:r>
    </w:p>
    <w:p w14:paraId="739C71D4" w14:textId="239F5823" w:rsidR="00013E70" w:rsidRPr="003E3323" w:rsidRDefault="00013E70" w:rsidP="009A68ED">
      <w:pPr>
        <w:overflowPunct/>
        <w:adjustRightInd/>
        <w:textAlignment w:val="auto"/>
      </w:pPr>
    </w:p>
    <w:p w14:paraId="53C7CE65" w14:textId="59F8F4FC" w:rsidR="00013E70" w:rsidRPr="003E3323" w:rsidRDefault="00013E70" w:rsidP="009A68ED">
      <w:pPr>
        <w:pStyle w:val="Kop1"/>
        <w:overflowPunct/>
        <w:adjustRightInd/>
        <w:ind w:left="567" w:hanging="567"/>
        <w:textAlignment w:val="auto"/>
      </w:pPr>
      <w:r w:rsidRPr="003E3323">
        <w:t>Om de cohesie op regionaal en lokaal niveau te versterken is meer speelruimte nodig voor de ontwikkeling van passende oplossingen op lokaal niveau. Het cohesiebeleid moet een flexibel aanbod omvatten waaruit de doelgroepen de doeltreffendste oplossingen voor hun regio of gemeente kunnen kiezen in het kader van de Europese regelingen – waaronder ook oplossingen die verder strekken dan thematische concentratie.</w:t>
      </w:r>
    </w:p>
    <w:p w14:paraId="3345E69D" w14:textId="58459E74" w:rsidR="00013E70" w:rsidRPr="003E3323" w:rsidRDefault="00013E70" w:rsidP="009A68ED">
      <w:pPr>
        <w:overflowPunct/>
        <w:adjustRightInd/>
        <w:textAlignment w:val="auto"/>
      </w:pPr>
    </w:p>
    <w:p w14:paraId="1BACDA6C" w14:textId="73D2DAB9" w:rsidR="00013E70" w:rsidRPr="003E3323" w:rsidRDefault="00013E70" w:rsidP="009A68ED">
      <w:pPr>
        <w:pStyle w:val="Kop1"/>
        <w:overflowPunct/>
        <w:adjustRightInd/>
        <w:ind w:left="567" w:hanging="567"/>
        <w:textAlignment w:val="auto"/>
      </w:pPr>
      <w:r w:rsidRPr="003E3323">
        <w:t>Het CvdR wijst er nadrukkelijk op dat de steunverlening ten behoeve van grensoverschrijdende, transnationale en interregionale samenwerking in het kader van de doelstelling "Europese territoriale samenwerking", met inbegrip van de macroregionale en maritieme strategieën, moet worden voortgezet. De Europese meerwaarde is in dit verband bijzonder goed zichtbaar. De meerwaarde resulteert uit de directe verwezenlijking van de integratiedoelstellingen en de bevordering van goede nabuurschapsrelaties. De samenwerking tussen projectpartners uit verschillende lidstaten, de mogelijkheid om kennis uit te wisselen met partners in heel Europa en de gemeenschappelijke uitwerking van nieuwe oplossingen voor ontwikkelingsactiviteiten van de overheid en particuliere actoren vormen belangrijke aspecten van de Europese integratie. Gegeven de zichtbare Europese meerwaarde moet territoriale samenwerking binnen de grenzen van de budgettaire mogelijkheden nog meer worden gesteund.</w:t>
      </w:r>
    </w:p>
    <w:p w14:paraId="0425DE4A" w14:textId="77777777" w:rsidR="005A58A4" w:rsidRPr="003E3323" w:rsidRDefault="005A58A4" w:rsidP="009A68ED">
      <w:pPr>
        <w:overflowPunct/>
        <w:adjustRightInd/>
        <w:textAlignment w:val="auto"/>
      </w:pPr>
    </w:p>
    <w:p w14:paraId="3E52A8E3" w14:textId="7114E6F9" w:rsidR="005A58A4" w:rsidRPr="003E3323" w:rsidRDefault="0012532F" w:rsidP="009A68ED">
      <w:pPr>
        <w:pStyle w:val="Kop1"/>
        <w:overflowPunct/>
        <w:adjustRightInd/>
        <w:ind w:left="567" w:hanging="567"/>
        <w:textAlignment w:val="auto"/>
      </w:pPr>
      <w:r w:rsidRPr="003E3323">
        <w:t>Een belangrijke rol speelt de intelligente specialisatie ten behoeve van regionale innovatiesystemen, de interregionale kennisuitwisseling en de stimulering van synergie met het Europese onderzoeksbevordering. Voorts verwijst het CvdR verwijst naar zijn advies “Slimme specialisatiestrategieën (RIS3): regionale impact en interregionale samenwerking” (SEDEC-VI/021).</w:t>
      </w:r>
    </w:p>
    <w:p w14:paraId="51441C5A" w14:textId="36544F29" w:rsidR="00013E70" w:rsidRPr="003E3323" w:rsidRDefault="00013E70" w:rsidP="009A68ED">
      <w:pPr>
        <w:overflowPunct/>
        <w:adjustRightInd/>
        <w:textAlignment w:val="auto"/>
      </w:pPr>
    </w:p>
    <w:p w14:paraId="7711F22B" w14:textId="195041C7" w:rsidR="00906580" w:rsidRPr="003E3323" w:rsidRDefault="00906580" w:rsidP="00AE36B1">
      <w:pPr>
        <w:pStyle w:val="Kop1"/>
        <w:overflowPunct/>
        <w:adjustRightInd/>
        <w:ind w:left="567" w:hanging="567"/>
        <w:textAlignment w:val="auto"/>
      </w:pPr>
      <w:r w:rsidRPr="003E3323">
        <w:t>Het Comité is er in dit verband van overtuigd dat macroregionale strategieën voor de deelnemende regio’s en burgers een belangrijke meerwaarde vormen, mits de bestaande en toekomstige financieringsinstrumenten gecoördineerd voor de strategieën gebruikt kunnen worden. Het verzoekt de Europese instellingen daarom ervoor te zorgen dat de toekomstige financieringsinstrumenten van het cohesiebeleid, maar ook andere EU-financieringsinstrumenten (CEF, Horizon 2020, EFSI) op de doelstellingen van de macroregionale strategieën afgestemd worden.</w:t>
      </w:r>
    </w:p>
    <w:p w14:paraId="3D008E99" w14:textId="3C0D918B" w:rsidR="00013E70" w:rsidRPr="003E3323" w:rsidRDefault="00013E70" w:rsidP="009A68ED">
      <w:pPr>
        <w:pStyle w:val="Kop1"/>
        <w:overflowPunct/>
        <w:adjustRightInd/>
        <w:ind w:left="567" w:hanging="567"/>
        <w:textAlignment w:val="auto"/>
      </w:pPr>
      <w:r w:rsidRPr="003E3323">
        <w:t>Cruciale uitdagingen voor lokale overheden (op het gebied van bijv. milieubescherming, sociale insluiting en migratie, digitale verandering, duurzaam vervoer) moeten ook in de toekomst bijzondere aandacht krijgen in het cohesiebeleid, dat het belangrijkste instrument moet blijven om samenwerking te stimuleren voor groei, aan te sporen tot een leefbare omgeving en innovatie in de Europese gemeenten, de vereiste voorwaarden (op het gebied van breedbandinfrastructuur of de circulaire economie) te scheppen en het groeipotentieel van de gemeenten optimaal te benutten. Om de flexibiliteit niet te beknotten mogen er ook in de toekomst geen aparte programma's in het leven worden geroepen. In plaats daarvan moet in het kader van duurzame lokale ontwikkeling in een zo breed mogelijk scala van steunmaatregelen worden voorzien, waaruit ter plaatse de meest geschikte mix kan worden samengesteld. Deze uitdagingen gelden niet alleen voor steden maar ook, in meerdere of mindere mate, voor alle lokale overheden. Daarom moet bij het zoeken naar geschikte oplossingen gebruik worden gemaakt van een geïntegreerde aanpak (bijv. CLLD, ITI). In het programmeringsproces moet echter voldoende speelruimte worden ingebouwd, zodat eigen flexibele aanpassingen daadwerkelijk mogelijk zijn.</w:t>
      </w:r>
    </w:p>
    <w:p w14:paraId="596B5E9E" w14:textId="45AEEB1D" w:rsidR="00013E70" w:rsidRPr="003E3323" w:rsidRDefault="00013E70" w:rsidP="009A68ED">
      <w:pPr>
        <w:overflowPunct/>
        <w:adjustRightInd/>
        <w:textAlignment w:val="auto"/>
      </w:pPr>
    </w:p>
    <w:p w14:paraId="0719C7D7" w14:textId="428D2EBF" w:rsidR="00013E70" w:rsidRPr="003E3323" w:rsidRDefault="00013E70" w:rsidP="009A68ED">
      <w:pPr>
        <w:pStyle w:val="Kop1"/>
        <w:overflowPunct/>
        <w:adjustRightInd/>
        <w:ind w:left="567" w:hanging="567"/>
        <w:textAlignment w:val="auto"/>
      </w:pPr>
      <w:r w:rsidRPr="003E3323">
        <w:t>Met het oog op een harmonieuze territoriale ontwikkeling dient de rol van metropolitane gebieden en steden te worden versterkt, die geconfronteerd worden met een reeks specifieke problemen op het vlak van milieukwaliteit, verstedelijking, sociale uitsluiting, vervoer en huisvesting. Met het oog op verbetering van de betrekkingen tussen stad en platteland moeten ook kleinere steden en gemeenten kunnen participeren. Voorts moeten de toepasselijke regelingen drastisch worden vereenvoudigd. Zoals opgemerkt in het CvdR-advies over de stedelijke agenda van de EU (COTER-VI/010) moet het beleid van de Unie zich niet richten op een door concurrentie gekenmerkte relatie tussen stedelijke en plattelandskwesties. Het Comité pleit andermaal voor een holistische territoriale kijk op stedelijke en landelijke gebieden als elkaar aanvullende functionele ruimten. Ook moeten het Europees Fonds voor regionale ontwikkeling en de vanuit de gemeenschap geleide lokale ontwikkeling in het kader van het plattelandsontwikkelingsprogramma beter op elkaar worden afgestemd.</w:t>
      </w:r>
    </w:p>
    <w:p w14:paraId="3B0B71F4" w14:textId="5AD50A6F" w:rsidR="00013E70" w:rsidRPr="003E3323" w:rsidRDefault="00013E70" w:rsidP="009A68ED">
      <w:pPr>
        <w:overflowPunct/>
        <w:adjustRightInd/>
        <w:textAlignment w:val="auto"/>
      </w:pPr>
    </w:p>
    <w:p w14:paraId="617A6CAF" w14:textId="0653F0CF" w:rsidR="008977B2" w:rsidRPr="003E3323" w:rsidRDefault="008977B2" w:rsidP="00AE36B1">
      <w:pPr>
        <w:pStyle w:val="Kop1"/>
        <w:overflowPunct/>
        <w:adjustRightInd/>
        <w:ind w:left="567" w:hanging="567"/>
        <w:textAlignment w:val="auto"/>
      </w:pPr>
      <w:r w:rsidRPr="003E3323">
        <w:t>Het Comité bepleit uitbreiding en vereenvoudiging van de gehanteerde nieuwe instrumenten voor versterking van de bottom-upbenadering en de multilevel governance, zoals door de gemeenschap geleide lokale ontwikkeling (CLLD) en de geïntegreerde territoriale investering (ITI), ter wille van een nog sterkere integratie op lokaal en regionaal niveau voor een geïntegreerde en holistische benadering van regionale ontwikkeling. Het bereiken van dat doel vergt een verschuiving van de beslissingsbevoegdheid en een brede betrokkenheid van alle relevante actoren in het veld.</w:t>
      </w:r>
    </w:p>
    <w:p w14:paraId="3A9EB2F3" w14:textId="77777777" w:rsidR="00BC1958" w:rsidRPr="003E3323" w:rsidRDefault="00BC1958" w:rsidP="009A68ED">
      <w:pPr>
        <w:overflowPunct/>
        <w:adjustRightInd/>
        <w:textAlignment w:val="auto"/>
      </w:pPr>
    </w:p>
    <w:p w14:paraId="0BA8787F" w14:textId="29AFB116" w:rsidR="0030599B" w:rsidRPr="003E3323" w:rsidRDefault="0030599B" w:rsidP="009A68ED">
      <w:pPr>
        <w:pStyle w:val="Kop1"/>
        <w:overflowPunct/>
        <w:adjustRightInd/>
        <w:ind w:left="567" w:hanging="567"/>
        <w:textAlignment w:val="auto"/>
      </w:pPr>
      <w:r w:rsidRPr="003E3323">
        <w:t xml:space="preserve">Ook dient een evenwichtige territoriale ontwikkeling te voorzien in passende steun voor plattelandsgebieden en interne stedelijke gebieden, evenals gebieden met een handicap (bijv. berggebieden of andere gebieden met natuurlijke of demografische handicaps) om daar te zorgen voor de nodige investeringen voor groei, banen, sociale inclusie en milieuduurzaamheid. De betreffende regio’s moeten meewerken aan het ontwerpen van territoriale instrumenten, de voorwaarden voor efficiënte plurisectorale ondernemingen scheppen en meer integratie van stedelijke en landelijke functies in regionale economieën bewerkstelligen. </w:t>
      </w:r>
    </w:p>
    <w:p w14:paraId="36EBB5C1" w14:textId="4341597E" w:rsidR="0030599B" w:rsidRPr="003E3323" w:rsidRDefault="0030599B" w:rsidP="009A68ED">
      <w:pPr>
        <w:overflowPunct/>
        <w:adjustRightInd/>
        <w:textAlignment w:val="auto"/>
      </w:pPr>
    </w:p>
    <w:p w14:paraId="1DD3CF39" w14:textId="7C22942C" w:rsidR="00BF025D" w:rsidRPr="003E3323" w:rsidRDefault="00BF025D" w:rsidP="00AE36B1">
      <w:pPr>
        <w:pStyle w:val="Kop1"/>
        <w:overflowPunct/>
        <w:adjustRightInd/>
        <w:ind w:left="567" w:hanging="567"/>
        <w:textAlignment w:val="auto"/>
      </w:pPr>
      <w:r w:rsidRPr="003E3323">
        <w:t>Het toekomstige cohesiebeleid zal daarnaast het belangrijkste instrument moeten vormen om voor een duurzame ontwikkeling van berggebieden te zorgen. Hiertoe zijn er, uitgaande van een geïntegreerde territoriale aanpak, specifieke maatregelen nodig om compensatie te bieden voor het door hoogte en reliëf veroorzaakte kostenverschil en voor het feit dat de omstandigheden er voor burgers en bedrijven niet erg aantrekkelijk zijn om er zich te vestigen. Ter bestrijding van de ontvolking is het ook zaak om goede voorzieningen en hoogwaardige infrastructuur te waarborgen. Bijzondere aandacht moet uitgaan naar het versterken van de landbouwsector, want deze is van cruciaal belang om de andere economische bedrijvigheid in berggebieden in stand te houden en om bescherming te bieden tegen gevaren van hydrogeologische aard, ook ten behoeve van laaggelegen gebieden.</w:t>
      </w:r>
    </w:p>
    <w:p w14:paraId="300CD1F6" w14:textId="01445F0C" w:rsidR="00BF025D" w:rsidRPr="003E3323" w:rsidRDefault="00BF025D" w:rsidP="009A68ED">
      <w:pPr>
        <w:overflowPunct/>
        <w:adjustRightInd/>
        <w:textAlignment w:val="auto"/>
      </w:pPr>
    </w:p>
    <w:p w14:paraId="67D86D97" w14:textId="14E442EB" w:rsidR="0078412F" w:rsidRPr="003E3323" w:rsidRDefault="0078412F" w:rsidP="00AE36B1">
      <w:pPr>
        <w:pStyle w:val="Kop1"/>
        <w:overflowPunct/>
        <w:adjustRightInd/>
        <w:ind w:left="567" w:hanging="567"/>
        <w:textAlignment w:val="auto"/>
      </w:pPr>
      <w:r w:rsidRPr="003E3323">
        <w:t>Er moeten beter gerichte maatregelen komen voor de lokale en regionale verantwoording en de zichtbaarheid van de ESI-fondsen ter plaatse. Dit omvat mede democratische controle, op het juiste niveau, van regionale en nationale ESI-programma’s.</w:t>
      </w:r>
    </w:p>
    <w:p w14:paraId="617FD753" w14:textId="77777777" w:rsidR="0078412F" w:rsidRPr="003E3323" w:rsidRDefault="0078412F" w:rsidP="009A68ED">
      <w:pPr>
        <w:overflowPunct/>
        <w:adjustRightInd/>
        <w:textAlignment w:val="auto"/>
      </w:pPr>
    </w:p>
    <w:p w14:paraId="411F7DC7" w14:textId="4895B023" w:rsidR="00013E70" w:rsidRPr="003E3323" w:rsidRDefault="00013E70" w:rsidP="009A68ED">
      <w:pPr>
        <w:keepNext/>
        <w:overflowPunct/>
        <w:adjustRightInd/>
        <w:textAlignment w:val="auto"/>
      </w:pPr>
      <w:r w:rsidRPr="003E3323">
        <w:t>Toereikende financiering voor een doeltreffend beleid</w:t>
      </w:r>
    </w:p>
    <w:p w14:paraId="7111628F" w14:textId="77777777" w:rsidR="00013E70" w:rsidRPr="003E3323" w:rsidRDefault="00013E70" w:rsidP="009A68ED">
      <w:pPr>
        <w:keepNext/>
        <w:overflowPunct/>
        <w:adjustRightInd/>
        <w:textAlignment w:val="auto"/>
      </w:pPr>
    </w:p>
    <w:p w14:paraId="42FEF678" w14:textId="4416081C" w:rsidR="00013E70" w:rsidRPr="003E3323" w:rsidRDefault="00013E70" w:rsidP="009A68ED">
      <w:pPr>
        <w:pStyle w:val="Kop1"/>
        <w:overflowPunct/>
        <w:adjustRightInd/>
        <w:ind w:left="567" w:hanging="567"/>
        <w:textAlignment w:val="auto"/>
      </w:pPr>
      <w:r w:rsidRPr="003E3323">
        <w:t>Op EU-niveau zal er nog langdurig grote behoefte bestaan aan middelen ter bevordering van investeringen. De hiervoor beschikbare financiële middelen zullen zich ook in de toekomst in het spanningsveld bevinden tussen consolidering van nationale begrotingen en de bereidwilligheid van de lidstaten om Europese taken te financieren. Voor het Europese cohesiebeleid komt het erop aan zijn opdracht ter versterking van economische, sociale en territoriale samenhang zodanig uit te voeren dat hierdoor een aanzienlijke bijdrage aan de versterking van Europese regio's en de EU teweeg wordt gebracht en de middelen doeltreffend worden besteed. Hiervoor is het van beslissend belang dat voor het cohesiebeleid toereikende middelen worden uitgetrokken.</w:t>
      </w:r>
    </w:p>
    <w:p w14:paraId="4A42306F" w14:textId="77777777" w:rsidR="00013E70" w:rsidRPr="003E3323" w:rsidRDefault="00013E70" w:rsidP="009A68ED">
      <w:pPr>
        <w:overflowPunct/>
        <w:adjustRightInd/>
        <w:textAlignment w:val="auto"/>
      </w:pPr>
    </w:p>
    <w:p w14:paraId="6849002B" w14:textId="53424CB4" w:rsidR="00013E70" w:rsidRPr="003E3323" w:rsidRDefault="00013E70" w:rsidP="009A68ED">
      <w:pPr>
        <w:pStyle w:val="Kop1"/>
        <w:overflowPunct/>
        <w:adjustRightInd/>
        <w:ind w:left="567" w:hanging="567"/>
        <w:textAlignment w:val="auto"/>
      </w:pPr>
      <w:r w:rsidRPr="003E3323">
        <w:t>Er moet op worden gewezen dat de ESIF niet kunnen worden vergeleken met centraal beheerde initiatieven als het EFSI. Het EFSI stimuleert aan de hand van afzonderlijke projecten investeringen op Europees en nationaal niveau, terwijl de ESIF, samen met de regionale innovatiestrategieën, beogen de economische, sociale en territoriale samenhang in de regio's en gemeenten en daarmee een evenwichtige en harmonieuze ontwikkeling van de EU als geheel duurzaam te bevorderen. Dit specifieke kenmerk van de ESIF moet worden versterkt in het kader van een strategische en op synergie gerichte aanpak die door een passend toezichts- en beoordelingssysteem en doelgerichte selectiemethoden duidelijke stimulansen biedt voor efficiëntie en effectiviteit. Deze instrumenten – de ESIF en het EFSI – vullen elkaar aan en mogen niet met elkaar botsen.</w:t>
      </w:r>
    </w:p>
    <w:p w14:paraId="53985666" w14:textId="77777777" w:rsidR="00013E70" w:rsidRPr="003E3323" w:rsidRDefault="00013E70" w:rsidP="009A68ED">
      <w:pPr>
        <w:overflowPunct/>
        <w:adjustRightInd/>
        <w:textAlignment w:val="auto"/>
      </w:pPr>
    </w:p>
    <w:p w14:paraId="502BFF31" w14:textId="54296857" w:rsidR="00633EDC" w:rsidRPr="003E3323" w:rsidRDefault="00633EDC" w:rsidP="009A68ED">
      <w:pPr>
        <w:pStyle w:val="Kop1"/>
        <w:overflowPunct/>
        <w:adjustRightInd/>
        <w:ind w:left="567" w:hanging="567"/>
        <w:textAlignment w:val="auto"/>
        <w:rPr>
          <w:spacing w:val="-2"/>
        </w:rPr>
      </w:pPr>
      <w:r w:rsidRPr="003E3323">
        <w:t>In dit verband wordt verwezen naar het advies “EFSI 2.0” van 7/8 december 2016 (COTER-VI/019).</w:t>
      </w:r>
    </w:p>
    <w:p w14:paraId="6FF2C993" w14:textId="5857CFAA" w:rsidR="00633EDC" w:rsidRPr="003E3323" w:rsidRDefault="00633EDC" w:rsidP="009A68ED">
      <w:pPr>
        <w:overflowPunct/>
        <w:adjustRightInd/>
        <w:textAlignment w:val="auto"/>
      </w:pPr>
    </w:p>
    <w:p w14:paraId="16376CA9" w14:textId="0B900E6C" w:rsidR="00013E70" w:rsidRPr="003E3323" w:rsidRDefault="00013E70" w:rsidP="009A68ED">
      <w:pPr>
        <w:pStyle w:val="Kop1"/>
        <w:overflowPunct/>
        <w:adjustRightInd/>
        <w:ind w:left="567" w:hanging="567"/>
        <w:textAlignment w:val="auto"/>
      </w:pPr>
      <w:r w:rsidRPr="003E3323">
        <w:t>Het CvdR stelt zich op het standpunt dat financiële instrumenten zinvol zijn en een alternatief voor of aanvulling op subsidies kunnen vormen, maar zij mogen als lening niet geleidelijk in de plaats komen van ESIF-subsidies. Financiële instrumenten moeten gezien de hoge beheerskosten die eraan verbonden zijn, alleen worden toegepast voor zover dat ter plaatse zinvol wordt geacht. Het CvdR is daarom van mening dat in de komende programmeringsperiode geen verplichting dient te worden ingevoerd om het aandeel van financiële instrumenten verder te verhogen. De bepalingen betreffende de interventie van de ESIF in financiële instrumenten zijn veeleisend en complex en getuigen van de moeilijkheden bij de tenuitvoerlegging van financiële instrumenten. Daarom moeten de desbetreffende uitvoeringsvoorschriften in vergelijking met de periode 2014-2020 ingrijpend worden vereenvoudigd. Het CvdR is bovendien van mening dat de synergieën tussen subsidies en financiële instrumenten aantrekkelijker moeten worden en beter moeten worden afgestemd op de praktijken op de markt.</w:t>
      </w:r>
    </w:p>
    <w:p w14:paraId="67504E8F" w14:textId="5BBD4B33" w:rsidR="00013E70" w:rsidRPr="003E3323" w:rsidRDefault="00013E70" w:rsidP="009A68ED">
      <w:pPr>
        <w:overflowPunct/>
        <w:adjustRightInd/>
        <w:textAlignment w:val="auto"/>
      </w:pPr>
    </w:p>
    <w:p w14:paraId="0EE2A283" w14:textId="30860560" w:rsidR="00013E70" w:rsidRPr="003E3323" w:rsidRDefault="00013E70" w:rsidP="009A68ED">
      <w:pPr>
        <w:pStyle w:val="Kop1"/>
        <w:overflowPunct/>
        <w:adjustRightInd/>
        <w:ind w:left="567" w:hanging="567"/>
        <w:textAlignment w:val="auto"/>
      </w:pPr>
      <w:r w:rsidRPr="003E3323">
        <w:t>Het Comité spreekt zich uit voor een versterking van de synergie tussen het cohesiebeleid en andere steuninstrumenten en programma's aan de hand van gemeenschappelijke strategische doelstellingen en beoordelingscriteria. Het moet mogelijk zijn om de procedures van de beheers- en controlesystemen en de daaraan gestelde eisen beter op elkaar af te stemmen om voor meer transparantie en een betere toegankelijkheid van de diverse steunmogelijkheden te zorgen zonder afbreuk te doen aan de verschillende doelstellingen van de instrumenten. Hiermee dient ook bij de herziening van het Financieel Reglement van de EU rekening te worden gehouden door het bijvoorbeeld mogelijk te maken om bij de evaluatie van onderzoeksprojecten in het kader van Horizon 2020 meer punten te geven aan projecten die voorzien in een Europees partnerschap met o.a. gebruikmaking van middelen uit de structuurfondsen, om te zorgen voor betere integratie van de verschillende Europese programma’s.</w:t>
      </w:r>
    </w:p>
    <w:p w14:paraId="4889CCD0" w14:textId="77777777" w:rsidR="00540062" w:rsidRPr="003E3323" w:rsidRDefault="00540062" w:rsidP="009A68ED">
      <w:pPr>
        <w:overflowPunct/>
        <w:adjustRightInd/>
        <w:ind w:left="567"/>
        <w:textAlignment w:val="auto"/>
      </w:pPr>
    </w:p>
    <w:p w14:paraId="68D2E500" w14:textId="6947E23D" w:rsidR="00540062" w:rsidRPr="003E3323" w:rsidRDefault="00540062" w:rsidP="009A68ED">
      <w:pPr>
        <w:pStyle w:val="Kop1"/>
        <w:overflowPunct/>
        <w:adjustRightInd/>
        <w:ind w:left="567" w:hanging="567"/>
        <w:textAlignment w:val="auto"/>
      </w:pPr>
      <w:r w:rsidRPr="003E3323">
        <w:t>Wat betreft de voorstellen ter herziening van het Financieel Reglement van de EU verwijst het Comité voorts naar zijn advies „Financiële regels van toepassing op de algemene begroting van de Unie VI/20” van 11/12 mei 2017 (COTER-VI/20).</w:t>
      </w:r>
    </w:p>
    <w:p w14:paraId="234AA197" w14:textId="77777777" w:rsidR="00013E70" w:rsidRPr="003E3323" w:rsidRDefault="00013E70" w:rsidP="009A68ED">
      <w:pPr>
        <w:overflowPunct/>
        <w:adjustRightInd/>
        <w:textAlignment w:val="auto"/>
      </w:pPr>
    </w:p>
    <w:p w14:paraId="0125DD53" w14:textId="6C40D40E" w:rsidR="00013E70" w:rsidRPr="003E3323" w:rsidRDefault="00013E70" w:rsidP="009A68ED">
      <w:pPr>
        <w:keepNext/>
        <w:overflowPunct/>
        <w:adjustRightInd/>
        <w:textAlignment w:val="auto"/>
      </w:pPr>
      <w:r w:rsidRPr="003E3323">
        <w:t xml:space="preserve">Subsidiariteit en evenredigheid ten behoeve van administratieve vereenvoudiging en terugdringing van bureaucratie </w:t>
      </w:r>
    </w:p>
    <w:p w14:paraId="0E141127" w14:textId="64715A70" w:rsidR="00013E70" w:rsidRPr="003E3323" w:rsidRDefault="00013E70" w:rsidP="009A68ED">
      <w:pPr>
        <w:keepNext/>
        <w:overflowPunct/>
        <w:adjustRightInd/>
        <w:textAlignment w:val="auto"/>
      </w:pPr>
    </w:p>
    <w:p w14:paraId="24A866DC" w14:textId="2088F9EF" w:rsidR="00013E70" w:rsidRPr="003E3323" w:rsidRDefault="00013E70" w:rsidP="009A68ED">
      <w:pPr>
        <w:pStyle w:val="Kop1"/>
        <w:overflowPunct/>
        <w:adjustRightInd/>
        <w:ind w:left="567" w:hanging="567"/>
        <w:textAlignment w:val="auto"/>
      </w:pPr>
      <w:r w:rsidRPr="003E3323">
        <w:t>Het CvdR vreest dat het cohesiebeleid de verwezenlijking van zijn eigen doelstellingen in gevaar brengt omdat de complexiteit van het beheer- en controlesysteem helemaal niet meer in verhouding staat tot de geplande meerwaarde. Hierdoor bestaat het gevaar dat het cohesiebeleid ook in de ogen van de begunstigden en de burgers niet meer als sleutel tot succes zal worden gezien, maar als het zoveelste symbool voor de vermeende kloof tussen burger en EU-politiek. Het is in ieders belang dit te vermijden. De aan programmering, beheer, controle en omzetting verbonden lasten moeten zowel voor de lokale en regionale overheden als voor de begunstigden drastisch worden verminderd.</w:t>
      </w:r>
    </w:p>
    <w:p w14:paraId="6B7ED81E" w14:textId="23B212C3" w:rsidR="00013E70" w:rsidRPr="003E3323" w:rsidRDefault="00013E70" w:rsidP="009A68ED">
      <w:pPr>
        <w:overflowPunct/>
        <w:adjustRightInd/>
        <w:textAlignment w:val="auto"/>
      </w:pPr>
    </w:p>
    <w:p w14:paraId="7C35E633" w14:textId="41E9194B" w:rsidR="00013E70" w:rsidRPr="003E3323" w:rsidRDefault="00013E70" w:rsidP="009A68ED">
      <w:pPr>
        <w:pStyle w:val="Kop1"/>
        <w:overflowPunct/>
        <w:adjustRightInd/>
        <w:ind w:left="567" w:hanging="567"/>
        <w:textAlignment w:val="auto"/>
      </w:pPr>
      <w:r w:rsidRPr="003E3323">
        <w:t>Om die reden moet het zwaartepunt van toekomstige hervormingen bij het uit de weg ruimen van bureaucratische belemmeringen liggen, zowel bij de vormgeving van de algemene voorschriften van het cohesiebeleid als bij het opzetten en ten uitvoer leggen van de afzonderlijke programma's en projecten. Tevens moet eraan worden herinnerd dat alle betrokken directoraten-generaal en diensten van de Commissie moeten bijdragen aan de vereenvoudiging van het cohesiebeleid. Het subsidiariteitsbeginsel moet hierbij consequenter worden toegepast dan tot dusver. Belangrijke stappen hiervoor zijn de tijdige presentatie van het nieuwe rechtskader vóór het begin van de nieuwe programmeringsperiode (uiterlijk medio 2019), géén toepassing van nieuwe normen met terugwerkende kracht, de ontwikkeling van een stabiele en gangbare rechtspraktijk, de concentratie op essentiële, nauwkeurige en betrouwbare richtsnoeren bij een gelijktijdige toepassing van nationale normen waar dit mogelijk is. Voor meer transparantie en minder complexe wetgeving dienen voor de verschillende EU-fondsen gelijke regelingen voor vergelijkbare situaties en zoveel mogelijk gemeenschappelijke voorschriften te gelden. Het grote aantal secundaire rechtshandelingen en richtsnoeren moet worden verlaagd. Met het oog op rechtszekerheid moeten vergunningen geldig zijn voor de gehele looptijd.</w:t>
      </w:r>
    </w:p>
    <w:p w14:paraId="4077B9D7" w14:textId="77777777" w:rsidR="0012532F" w:rsidRPr="003E3323" w:rsidRDefault="0012532F" w:rsidP="009A68ED">
      <w:pPr>
        <w:overflowPunct/>
        <w:adjustRightInd/>
        <w:ind w:left="567"/>
        <w:textAlignment w:val="auto"/>
      </w:pPr>
    </w:p>
    <w:p w14:paraId="4C213244" w14:textId="60A208F5" w:rsidR="0012532F" w:rsidRPr="003E3323" w:rsidRDefault="0012532F" w:rsidP="009A68ED">
      <w:pPr>
        <w:pStyle w:val="Kop1"/>
        <w:overflowPunct/>
        <w:adjustRightInd/>
        <w:ind w:left="567" w:hanging="567"/>
        <w:textAlignment w:val="auto"/>
      </w:pPr>
      <w:r w:rsidRPr="003E3323">
        <w:t>De Europese Commissie wordt verzocht een voorstel te doen voor een alomvattende territoriale effectbeoordeling van de voorstellen voor de toekomstige vormgeving van het cohesiebeleid, ook met betrekking tot de berekening van de administratieve lasten. Het Comité biedt op basis van punt 23 van het Protocol betreffende de samenwerking tussen de Europese Commissie en het CvdR zijn samenwerking op dit gebied aan.</w:t>
      </w:r>
    </w:p>
    <w:p w14:paraId="3ACD3F51" w14:textId="77777777" w:rsidR="00013E70" w:rsidRPr="003E3323" w:rsidRDefault="00013E70" w:rsidP="009A68ED">
      <w:pPr>
        <w:overflowPunct/>
        <w:adjustRightInd/>
        <w:textAlignment w:val="auto"/>
      </w:pPr>
    </w:p>
    <w:p w14:paraId="6F02EBF3" w14:textId="0D64F01B" w:rsidR="00013E70" w:rsidRPr="003E3323" w:rsidRDefault="00013E70" w:rsidP="009A68ED">
      <w:pPr>
        <w:pStyle w:val="Kop1"/>
        <w:overflowPunct/>
        <w:adjustRightInd/>
        <w:ind w:left="567" w:hanging="567"/>
        <w:textAlignment w:val="auto"/>
      </w:pPr>
      <w:r w:rsidRPr="003E3323">
        <w:t>De tenuitvoerlegging van het cohesiebeleid heeft door de naast elkaar bestaande Europese en nationale wetgeving inmiddels te kampen met een grote mate van overregulering en de lasten van beheer en controle bij de uitvoering van de operationele programma's hebben een onaanvaardbaar niveau bereikt. Daardoor is er steeds minder sprake van een evenwicht tussen de positieve impact van de ESIF enerzijds en de lasten van de uitvoering ervan anderzijds.</w:t>
      </w:r>
    </w:p>
    <w:p w14:paraId="5E22CE33" w14:textId="681BA144" w:rsidR="00013E70" w:rsidRPr="003E3323" w:rsidRDefault="00013E70" w:rsidP="009A68ED">
      <w:pPr>
        <w:overflowPunct/>
        <w:adjustRightInd/>
        <w:textAlignment w:val="auto"/>
      </w:pPr>
    </w:p>
    <w:p w14:paraId="784D5D34" w14:textId="267C396D" w:rsidR="00013E70" w:rsidRPr="003E3323" w:rsidRDefault="00013E70" w:rsidP="009A68ED">
      <w:pPr>
        <w:pStyle w:val="Kop1"/>
        <w:overflowPunct/>
        <w:adjustRightInd/>
        <w:ind w:left="567" w:hanging="567"/>
        <w:textAlignment w:val="auto"/>
      </w:pPr>
      <w:r w:rsidRPr="003E3323">
        <w:t>Een uitgebreide herziening van de beheer- en controlevereisten van de ESIF is derhalve dringend noodzakelijk. Bovendien moet voor meer rechtszekerheid en juridische duidelijkheid en voorkoming van overregulering worden gezorgd bij de implementatie van de ESIF. Tegen deze achtergrond is het CvdR verheugd over elk initiatief ter vereenvoudiging van de steunverlening en over de hiertoe in het leven geroepen groep op hoog niveau van onafhankelijke deskundigen voor administratieve vereenvoudiging (High Level Group on Simplification). Het CvdR stelt bijvoorbeeld voor de vereisten voor de opvolging, verslaglegging en evaluatie te verlichten. Tevens moet een vertrouwensrelatie worden ontwikkeld tussen de Commissie en de beheersautoriteiten om de controles beter in verhouding te laten zijn en de beheersautoriteiten en initiatiefnemers van projecten gerust te stellen. Hiervoor zijn de invoering van een differentiatiebeginsel in het gedeeld beheer, het onderscheid tussen fraude en onbedoelde fouten en een verhoging van de foutenmarge tot 5 % onmisbaar.</w:t>
      </w:r>
    </w:p>
    <w:p w14:paraId="4AFD9C8F" w14:textId="7E491785" w:rsidR="00013E70" w:rsidRPr="003E3323" w:rsidRDefault="00013E70" w:rsidP="009A68ED">
      <w:pPr>
        <w:overflowPunct/>
        <w:adjustRightInd/>
        <w:textAlignment w:val="auto"/>
      </w:pPr>
    </w:p>
    <w:p w14:paraId="548CED2F" w14:textId="6DAAD041" w:rsidR="00A61564" w:rsidRPr="003E3323" w:rsidRDefault="00A61564" w:rsidP="00AE36B1">
      <w:pPr>
        <w:pStyle w:val="Kop1"/>
        <w:overflowPunct/>
        <w:adjustRightInd/>
        <w:ind w:left="567" w:hanging="567"/>
        <w:textAlignment w:val="auto"/>
      </w:pPr>
      <w:r w:rsidRPr="003E3323">
        <w:t>Coherente toepassing van het subsidiariteitsbeginsel vereist niet alleen dat de administratieve lasten worden verminderd en de wetgeving wordt vereenvoudigd, maar ook dat regionale en lokale overheden worden ondersteund bij de opbouw van hun capaciteit om de programma's te besturen en te beheren en bij de uitvoering van de desbetreffende maatregelen en projecten.</w:t>
      </w:r>
    </w:p>
    <w:p w14:paraId="1F2249E5" w14:textId="517A3913" w:rsidR="00A61564" w:rsidRPr="003E3323" w:rsidRDefault="00A61564" w:rsidP="009A68ED">
      <w:pPr>
        <w:overflowPunct/>
        <w:adjustRightInd/>
        <w:textAlignment w:val="auto"/>
      </w:pPr>
    </w:p>
    <w:p w14:paraId="7E6BFFC6" w14:textId="5FF8288C" w:rsidR="00013E70" w:rsidRPr="003E3323" w:rsidRDefault="00013E70" w:rsidP="009A68ED">
      <w:pPr>
        <w:pStyle w:val="Kop1"/>
        <w:overflowPunct/>
        <w:adjustRightInd/>
        <w:ind w:left="567" w:hanging="567"/>
        <w:textAlignment w:val="auto"/>
      </w:pPr>
      <w:r w:rsidRPr="003E3323">
        <w:t>Men mag echter niet vergeten dat de tot dusver ondernomen pogingen om de oorzaken van complexiteit en buitensporige administratieve en controlelasten te identificeren en consequent tegen te gaan, ten dele zelfs nieuwe belemmeringen voor de administratie en de begunstigden met zich hebben mee gebracht. In veel gevallen heeft de roep om meer rechtszekerheid tot vaststelling van bijkomende omzettingsbepalingen, uitvoeringsvoorschriften en richtsnoeren door de Commissie en de lidstaten geleid, zodat de uitvoering van de programma's uiteindelijk nog ingewikkelder is geworden. Hierdoor neemt de kans op fouten en het foutenaantal vervolgens weer toe.</w:t>
      </w:r>
    </w:p>
    <w:p w14:paraId="1040495E" w14:textId="5767EC73" w:rsidR="00013E70" w:rsidRPr="003E3323" w:rsidRDefault="00013E70" w:rsidP="009A68ED">
      <w:pPr>
        <w:overflowPunct/>
        <w:adjustRightInd/>
        <w:textAlignment w:val="auto"/>
      </w:pPr>
    </w:p>
    <w:p w14:paraId="0D4B46FC" w14:textId="06B3C2A6" w:rsidR="00013E70" w:rsidRPr="003E3323" w:rsidRDefault="00013E70" w:rsidP="009A68ED">
      <w:pPr>
        <w:pStyle w:val="Kop1"/>
        <w:overflowPunct/>
        <w:adjustRightInd/>
        <w:ind w:left="567" w:hanging="567"/>
        <w:textAlignment w:val="auto"/>
      </w:pPr>
      <w:r w:rsidRPr="003E3323">
        <w:t>Het CvdR stelt daarom voor om te onderzoeken of het roer voor de planning en uitvoering van de programma's principieel kan worden omgegooid.</w:t>
      </w:r>
      <w:r w:rsidRPr="003E3323">
        <w:noBreakHyphen/>
        <w:t xml:space="preserve"> De lidstaten en de beheersautoriteiten zouden zelf moeten kunnen bepalen of de administratieve uitvoering van hun programma's ofwel geheel volgens Europees of geheel volgens nationaal recht plaatsvindt. Er dienen desbetreffende regelingen te worden opgenomen in het Financieel Reglement van de EU. Hierdoor zou de vermenging van nationale en Europese regelingen wegvallen.</w:t>
      </w:r>
    </w:p>
    <w:p w14:paraId="1BEEEEFE" w14:textId="18967672" w:rsidR="00013E70" w:rsidRPr="003E3323" w:rsidRDefault="00013E70" w:rsidP="009A68ED">
      <w:pPr>
        <w:overflowPunct/>
        <w:adjustRightInd/>
        <w:textAlignment w:val="auto"/>
      </w:pPr>
    </w:p>
    <w:p w14:paraId="385337A7" w14:textId="4BCAE18B" w:rsidR="00013E70" w:rsidRPr="003E3323" w:rsidRDefault="00013E70" w:rsidP="009A68ED">
      <w:pPr>
        <w:pStyle w:val="Kop1"/>
        <w:overflowPunct/>
        <w:adjustRightInd/>
        <w:ind w:left="567" w:hanging="567"/>
        <w:textAlignment w:val="auto"/>
      </w:pPr>
      <w:r w:rsidRPr="003E3323">
        <w:t>Het CvdR dringt er voorts op aan om voortaan een consequente single audit-aanpak te volgen om dubbele controles te voorkomen en begunstigden meer dan eens om dezelfde informatie te verzoeken, tegenstrijdige interpretaties door verschillend controleorganen te vermijden en de kosten terug te dringen. De controles door de EU-instellingen dienen zich te concentreren op de verwezenlijking van de nagestreefde doelstellingen en de bestrijding van fraude en corruptie.</w:t>
      </w:r>
    </w:p>
    <w:p w14:paraId="6B8AD00A" w14:textId="2B81B8F4" w:rsidR="00013E70" w:rsidRPr="003E3323" w:rsidRDefault="00013E70" w:rsidP="009A68ED">
      <w:pPr>
        <w:overflowPunct/>
        <w:adjustRightInd/>
        <w:textAlignment w:val="auto"/>
      </w:pPr>
    </w:p>
    <w:p w14:paraId="475C0FAF" w14:textId="423D0C1F" w:rsidR="00013E70" w:rsidRPr="003E3323" w:rsidRDefault="00013E70" w:rsidP="009A68ED">
      <w:pPr>
        <w:pStyle w:val="Kop1"/>
        <w:overflowPunct/>
        <w:adjustRightInd/>
        <w:ind w:left="567" w:hanging="567"/>
        <w:textAlignment w:val="auto"/>
      </w:pPr>
      <w:r w:rsidRPr="003E3323">
        <w:t>Het CvdR pleit ervoor om de ESIF met het oog op de komende nieuwe staatssteunregels per definitie te beschouwen als zijnde in overeenstemming met die regels, de in het ELFPO en EFMZV erkende niet-toepasselijkheid van artikel 107 e.v. van het Verdrag uit te breiden tot alle fondsen of anders de toepassing van de staatssteunvoorschriften bij de uitvoering van de ESIF te vereenvoudigen, bijvoorbeeld door bij de financiering uit de ESIF conformiteit met de staatssteunregels te veronderstellen voor zover zij voldoet aan eenvoudige criteria (zoals overeenstemming met de goedgekeurde operationele programma's). De ongelijke behandeling van EU-fondsen onder direct beheer, zoals het EFSI, de Connecting Europe Facility en Horizon 2020 enerzijds en de ESIF anderzijds op het gebied van staatssteun is niet gerechtvaardigd, zorgt voor meer administratieve lasten en vormt een belemmering voor het ontstaan van synergie tussen de verschillende instrumenten en leidt bovendien tot rechtsonzekerheid, omdat er geen uniform criterium wordt gehanteerd ten aanzien van zoiets belangrijks als het stimulerend effect.</w:t>
      </w:r>
    </w:p>
    <w:p w14:paraId="31D296C0" w14:textId="2F8F3095" w:rsidR="00013E70" w:rsidRPr="003E3323" w:rsidRDefault="00013E70" w:rsidP="009A68ED">
      <w:pPr>
        <w:overflowPunct/>
        <w:adjustRightInd/>
        <w:textAlignment w:val="auto"/>
      </w:pPr>
    </w:p>
    <w:p w14:paraId="20ECE8E2" w14:textId="722047D3" w:rsidR="00C14185" w:rsidRPr="003E3323" w:rsidRDefault="00C14185" w:rsidP="00AE36B1">
      <w:pPr>
        <w:pStyle w:val="Kop1"/>
        <w:overflowPunct/>
        <w:adjustRightInd/>
        <w:ind w:left="567" w:hanging="567"/>
        <w:textAlignment w:val="auto"/>
      </w:pPr>
      <w:r w:rsidRPr="003E3323">
        <w:t>Mogelijkheden voor gezamenlijke programmering door diverse beheersautoriteiten zouden wettelijk aangemoedigd en gestimuleerd moeten worden, teneinde maatregelen op macro-regionale en trans-Europese schaal te faciliteren.</w:t>
      </w:r>
    </w:p>
    <w:p w14:paraId="2670757F" w14:textId="77777777" w:rsidR="00C14185" w:rsidRPr="003E3323" w:rsidRDefault="00C14185" w:rsidP="009A68ED">
      <w:pPr>
        <w:overflowPunct/>
        <w:adjustRightInd/>
        <w:textAlignment w:val="auto"/>
      </w:pPr>
    </w:p>
    <w:p w14:paraId="76EE05FC" w14:textId="021D7EE5" w:rsidR="00013E70" w:rsidRPr="003E3323" w:rsidRDefault="00013E70" w:rsidP="009A68ED">
      <w:pPr>
        <w:pStyle w:val="Kop1"/>
        <w:overflowPunct/>
        <w:adjustRightInd/>
        <w:ind w:left="567" w:hanging="567"/>
        <w:textAlignment w:val="auto"/>
      </w:pPr>
      <w:r w:rsidRPr="003E3323">
        <w:t>In de toekomst moet bij de uitvoering van en de controle op de ESIF in grotere mate rekening worden gehouden met het evenredigheidsbeginsel. Met name de omvang van het programma, het risicoprofiel, de kwaliteit van het beheer en de hoogte van het aandeel eigen middelen zouden als centrale criteria kunnen fungeren die in de overwegingen over een evenredige en gedifferentieerde vormgeving van de beheer- en controlesystemen na 2020 moeten worden meegenomen. Dit geldt in het bijzonder ook voor de territoriale samenwerking.</w:t>
      </w:r>
    </w:p>
    <w:p w14:paraId="24688444" w14:textId="00038804" w:rsidR="00013E70" w:rsidRPr="003E3323" w:rsidRDefault="00013E70" w:rsidP="009A68ED">
      <w:pPr>
        <w:overflowPunct/>
        <w:adjustRightInd/>
        <w:textAlignment w:val="auto"/>
      </w:pPr>
    </w:p>
    <w:p w14:paraId="58A6F7F3" w14:textId="55D86326" w:rsidR="00013E70" w:rsidRPr="003E3323" w:rsidRDefault="00013E70" w:rsidP="009A68ED">
      <w:pPr>
        <w:pStyle w:val="Kop1"/>
        <w:overflowPunct/>
        <w:adjustRightInd/>
        <w:ind w:left="567" w:hanging="567"/>
        <w:textAlignment w:val="auto"/>
      </w:pPr>
      <w:r w:rsidRPr="003E3323">
        <w:t>Het CvdR verwijst daarnaast voor wat betreft administratieve vereenvoudiging en tenuitvoerlegging naar zijn advies over "Vereenvoudiging van de ESIF vanuit het oogpunt van lokale en regionale overheden" van 10-12 oktober 2016 (COTER VI/12). Oktober 2016 (COTER VI/012).</w:t>
      </w:r>
    </w:p>
    <w:p w14:paraId="1C3699EF" w14:textId="77777777" w:rsidR="00013E70" w:rsidRPr="003E3323" w:rsidRDefault="00013E70" w:rsidP="009A68ED">
      <w:pPr>
        <w:overflowPunct/>
        <w:adjustRightInd/>
        <w:textAlignment w:val="auto"/>
      </w:pPr>
    </w:p>
    <w:p w14:paraId="682F54A1" w14:textId="77777777" w:rsidR="00DF023D" w:rsidRPr="003E3323" w:rsidRDefault="00DF023D" w:rsidP="009A68ED">
      <w:pPr>
        <w:overflowPunct/>
        <w:adjustRightInd/>
        <w:textAlignment w:val="auto"/>
      </w:pPr>
    </w:p>
    <w:p w14:paraId="10C77386" w14:textId="77777777" w:rsidR="00076622" w:rsidRPr="003E3323" w:rsidRDefault="00076622" w:rsidP="009A68ED">
      <w:pPr>
        <w:overflowPunct/>
        <w:adjustRightInd/>
        <w:textAlignment w:val="auto"/>
      </w:pPr>
      <w:r w:rsidRPr="003E3323">
        <w:t xml:space="preserve">Brussel, </w:t>
      </w:r>
    </w:p>
    <w:p w14:paraId="04575BDF" w14:textId="4F7E29BE" w:rsidR="00196A7E" w:rsidRPr="003E3323" w:rsidRDefault="00196A7E" w:rsidP="009A68ED">
      <w:pPr>
        <w:overflowPunct/>
        <w:adjustRightInd/>
        <w:spacing w:line="240" w:lineRule="auto"/>
        <w:jc w:val="left"/>
        <w:textAlignment w:val="auto"/>
      </w:pPr>
      <w:r w:rsidRPr="003E3323">
        <w:br w:type="page"/>
      </w:r>
    </w:p>
    <w:p w14:paraId="10C77388" w14:textId="5E380310" w:rsidR="00076622" w:rsidRPr="003E3323" w:rsidRDefault="00076622" w:rsidP="009A68ED">
      <w:pPr>
        <w:keepNext/>
        <w:keepLines/>
        <w:numPr>
          <w:ilvl w:val="0"/>
          <w:numId w:val="2"/>
        </w:numPr>
        <w:overflowPunct/>
        <w:adjustRightInd/>
        <w:ind w:left="567" w:hanging="567"/>
        <w:textAlignment w:val="auto"/>
        <w:rPr>
          <w:b/>
        </w:rPr>
      </w:pPr>
      <w:r w:rsidRPr="003E3323">
        <w:rPr>
          <w:b/>
        </w:rPr>
        <w:t>PROCEDURE</w:t>
      </w:r>
    </w:p>
    <w:p w14:paraId="10C77389" w14:textId="77777777" w:rsidR="00076622" w:rsidRPr="003E3323" w:rsidRDefault="00076622" w:rsidP="009A68ED">
      <w:pPr>
        <w:keepNext/>
        <w:keepLines/>
        <w:overflowPunct/>
        <w:adjustRightInd/>
        <w:textAlignment w:val="auto"/>
      </w:pPr>
    </w:p>
    <w:tbl>
      <w:tblPr>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68"/>
        <w:gridCol w:w="5170"/>
      </w:tblGrid>
      <w:tr w:rsidR="00076622" w:rsidRPr="003E3323" w14:paraId="10C7738D" w14:textId="77777777" w:rsidTr="00020CC6">
        <w:tc>
          <w:tcPr>
            <w:tcW w:w="4068" w:type="dxa"/>
          </w:tcPr>
          <w:p w14:paraId="10C7738A" w14:textId="77777777" w:rsidR="00076622" w:rsidRPr="003E3323" w:rsidRDefault="00076622" w:rsidP="009A68ED">
            <w:pPr>
              <w:keepNext/>
              <w:keepLines/>
              <w:overflowPunct/>
              <w:adjustRightInd/>
              <w:textAlignment w:val="auto"/>
              <w:rPr>
                <w:b/>
              </w:rPr>
            </w:pPr>
            <w:r w:rsidRPr="003E3323">
              <w:rPr>
                <w:b/>
              </w:rPr>
              <w:t>Titel</w:t>
            </w:r>
          </w:p>
          <w:p w14:paraId="10C7738B" w14:textId="77777777" w:rsidR="00076622" w:rsidRPr="003E3323" w:rsidRDefault="00076622" w:rsidP="009A68ED">
            <w:pPr>
              <w:keepNext/>
              <w:keepLines/>
              <w:overflowPunct/>
              <w:adjustRightInd/>
              <w:textAlignment w:val="auto"/>
              <w:rPr>
                <w:szCs w:val="22"/>
              </w:rPr>
            </w:pPr>
          </w:p>
        </w:tc>
        <w:tc>
          <w:tcPr>
            <w:tcW w:w="5170" w:type="dxa"/>
            <w:noWrap/>
          </w:tcPr>
          <w:p w14:paraId="10C7738C" w14:textId="3B9F51E1" w:rsidR="00076622" w:rsidRPr="003E3323" w:rsidRDefault="006D4D9F" w:rsidP="009A68ED">
            <w:pPr>
              <w:keepNext/>
              <w:keepLines/>
              <w:overflowPunct/>
              <w:adjustRightInd/>
              <w:textAlignment w:val="auto"/>
              <w:rPr>
                <w:szCs w:val="22"/>
              </w:rPr>
            </w:pPr>
            <w:r w:rsidRPr="003E3323">
              <w:t>De toekomst van het cohesiebeleid na 2020 – Naar een sterk en doeltreffend Europees cohesiebeleid na 2020</w:t>
            </w:r>
          </w:p>
        </w:tc>
      </w:tr>
      <w:tr w:rsidR="00076622" w:rsidRPr="003E3323" w14:paraId="10C77390" w14:textId="77777777" w:rsidTr="00020CC6">
        <w:tc>
          <w:tcPr>
            <w:tcW w:w="4068" w:type="dxa"/>
          </w:tcPr>
          <w:p w14:paraId="10C7738E" w14:textId="77777777" w:rsidR="00076622" w:rsidRPr="003E3323" w:rsidRDefault="00076622" w:rsidP="009A68ED">
            <w:pPr>
              <w:overflowPunct/>
              <w:adjustRightInd/>
              <w:textAlignment w:val="auto"/>
              <w:rPr>
                <w:b/>
                <w:bCs/>
                <w:szCs w:val="22"/>
              </w:rPr>
            </w:pPr>
            <w:r w:rsidRPr="003E3323">
              <w:rPr>
                <w:b/>
              </w:rPr>
              <w:t>Referentiedocument(en)</w:t>
            </w:r>
          </w:p>
        </w:tc>
        <w:tc>
          <w:tcPr>
            <w:tcW w:w="5170" w:type="dxa"/>
            <w:noWrap/>
          </w:tcPr>
          <w:p w14:paraId="10C7738F" w14:textId="58411CBE" w:rsidR="00076622" w:rsidRPr="003E3323" w:rsidRDefault="00D81956" w:rsidP="009A68ED">
            <w:pPr>
              <w:overflowPunct/>
              <w:adjustRightInd/>
              <w:textAlignment w:val="auto"/>
              <w:rPr>
                <w:szCs w:val="22"/>
              </w:rPr>
            </w:pPr>
            <w:r w:rsidRPr="003E3323">
              <w:t>–</w:t>
            </w:r>
          </w:p>
        </w:tc>
      </w:tr>
      <w:tr w:rsidR="00076622" w:rsidRPr="003E3323" w14:paraId="10C77393" w14:textId="77777777" w:rsidTr="00020CC6">
        <w:tc>
          <w:tcPr>
            <w:tcW w:w="4068" w:type="dxa"/>
          </w:tcPr>
          <w:p w14:paraId="10C77391" w14:textId="77777777" w:rsidR="00076622" w:rsidRPr="003E3323" w:rsidRDefault="00076622" w:rsidP="009A68ED">
            <w:pPr>
              <w:overflowPunct/>
              <w:adjustRightInd/>
              <w:textAlignment w:val="auto"/>
              <w:rPr>
                <w:b/>
                <w:bCs/>
                <w:szCs w:val="22"/>
              </w:rPr>
            </w:pPr>
            <w:r w:rsidRPr="003E3323">
              <w:rPr>
                <w:b/>
              </w:rPr>
              <w:t>Rechtsgrond</w:t>
            </w:r>
          </w:p>
        </w:tc>
        <w:tc>
          <w:tcPr>
            <w:tcW w:w="5170" w:type="dxa"/>
            <w:noWrap/>
          </w:tcPr>
          <w:p w14:paraId="10C77392" w14:textId="25155AE9" w:rsidR="00076622" w:rsidRPr="003E3323" w:rsidRDefault="00D81956" w:rsidP="009A68ED">
            <w:pPr>
              <w:overflowPunct/>
              <w:adjustRightInd/>
              <w:textAlignment w:val="auto"/>
              <w:rPr>
                <w:szCs w:val="22"/>
              </w:rPr>
            </w:pPr>
            <w:r w:rsidRPr="003E3323">
              <w:t>art. 307, lid 4, VWEU</w:t>
            </w:r>
          </w:p>
        </w:tc>
      </w:tr>
      <w:tr w:rsidR="00076622" w:rsidRPr="003E3323" w14:paraId="10C77396" w14:textId="77777777" w:rsidTr="00020CC6">
        <w:tc>
          <w:tcPr>
            <w:tcW w:w="4068" w:type="dxa"/>
          </w:tcPr>
          <w:p w14:paraId="10C77394" w14:textId="77777777" w:rsidR="00076622" w:rsidRPr="003E3323" w:rsidRDefault="00076622" w:rsidP="009A68ED">
            <w:pPr>
              <w:overflowPunct/>
              <w:adjustRightInd/>
              <w:textAlignment w:val="auto"/>
              <w:rPr>
                <w:b/>
                <w:bCs/>
                <w:szCs w:val="22"/>
              </w:rPr>
            </w:pPr>
            <w:r w:rsidRPr="003E3323">
              <w:rPr>
                <w:b/>
              </w:rPr>
              <w:t>Procedurele grondslag</w:t>
            </w:r>
          </w:p>
        </w:tc>
        <w:tc>
          <w:tcPr>
            <w:tcW w:w="5170" w:type="dxa"/>
            <w:noWrap/>
          </w:tcPr>
          <w:p w14:paraId="10C77395" w14:textId="25B902EE" w:rsidR="00076622" w:rsidRPr="003E3323" w:rsidRDefault="00D81956" w:rsidP="009A68ED">
            <w:pPr>
              <w:overflowPunct/>
              <w:adjustRightInd/>
              <w:textAlignment w:val="auto"/>
              <w:rPr>
                <w:szCs w:val="22"/>
              </w:rPr>
            </w:pPr>
            <w:r w:rsidRPr="003E3323">
              <w:t>Artikel 41, letter b, punt ii, van het rvo</w:t>
            </w:r>
          </w:p>
        </w:tc>
      </w:tr>
      <w:tr w:rsidR="00076622" w:rsidRPr="003E3323" w14:paraId="10C77399" w14:textId="77777777" w:rsidTr="00020CC6">
        <w:tc>
          <w:tcPr>
            <w:tcW w:w="4068" w:type="dxa"/>
          </w:tcPr>
          <w:p w14:paraId="10C77397" w14:textId="77777777" w:rsidR="00076622" w:rsidRPr="003E3323" w:rsidRDefault="00076622" w:rsidP="009A68ED">
            <w:pPr>
              <w:overflowPunct/>
              <w:adjustRightInd/>
              <w:textAlignment w:val="auto"/>
              <w:rPr>
                <w:b/>
                <w:bCs/>
                <w:szCs w:val="22"/>
              </w:rPr>
            </w:pPr>
            <w:r w:rsidRPr="003E3323">
              <w:rPr>
                <w:b/>
              </w:rPr>
              <w:t>Raadpleging door de Raad/het Europees Parlement/ Brief van de Commissie</w:t>
            </w:r>
          </w:p>
        </w:tc>
        <w:tc>
          <w:tcPr>
            <w:tcW w:w="5170" w:type="dxa"/>
            <w:noWrap/>
          </w:tcPr>
          <w:p w14:paraId="10C77398" w14:textId="31B756E5" w:rsidR="00076622" w:rsidRPr="003E3323" w:rsidRDefault="00D81956" w:rsidP="009A68ED">
            <w:pPr>
              <w:overflowPunct/>
              <w:adjustRightInd/>
              <w:textAlignment w:val="auto"/>
              <w:rPr>
                <w:szCs w:val="22"/>
              </w:rPr>
            </w:pPr>
            <w:r w:rsidRPr="003E3323">
              <w:t>–</w:t>
            </w:r>
          </w:p>
        </w:tc>
      </w:tr>
      <w:tr w:rsidR="00076622" w:rsidRPr="003E3323" w14:paraId="10C7739C" w14:textId="77777777" w:rsidTr="00020CC6">
        <w:tc>
          <w:tcPr>
            <w:tcW w:w="4068" w:type="dxa"/>
          </w:tcPr>
          <w:p w14:paraId="10C7739A" w14:textId="77777777" w:rsidR="00076622" w:rsidRPr="003E3323" w:rsidRDefault="00076622" w:rsidP="009A68ED">
            <w:pPr>
              <w:overflowPunct/>
              <w:adjustRightInd/>
              <w:jc w:val="left"/>
              <w:textAlignment w:val="auto"/>
              <w:rPr>
                <w:b/>
                <w:bCs/>
                <w:szCs w:val="22"/>
              </w:rPr>
            </w:pPr>
            <w:r w:rsidRPr="003E3323">
              <w:rPr>
                <w:b/>
              </w:rPr>
              <w:t>Datum van het besluit van de voorzitter/het bureau</w:t>
            </w:r>
          </w:p>
        </w:tc>
        <w:tc>
          <w:tcPr>
            <w:tcW w:w="5170" w:type="dxa"/>
            <w:noWrap/>
          </w:tcPr>
          <w:p w14:paraId="10C7739B" w14:textId="15A42A2F" w:rsidR="00076622" w:rsidRPr="003E3323" w:rsidRDefault="00EB67B0" w:rsidP="009A68ED">
            <w:pPr>
              <w:overflowPunct/>
              <w:adjustRightInd/>
              <w:textAlignment w:val="auto"/>
              <w:rPr>
                <w:szCs w:val="22"/>
              </w:rPr>
            </w:pPr>
            <w:r w:rsidRPr="003E3323">
              <w:t>06/04/2016</w:t>
            </w:r>
          </w:p>
        </w:tc>
      </w:tr>
      <w:tr w:rsidR="00076622" w:rsidRPr="003E3323" w14:paraId="10C7739F" w14:textId="77777777" w:rsidTr="00020CC6">
        <w:tc>
          <w:tcPr>
            <w:tcW w:w="4068" w:type="dxa"/>
          </w:tcPr>
          <w:p w14:paraId="10C7739D" w14:textId="77777777" w:rsidR="00076622" w:rsidRPr="003E3323" w:rsidRDefault="00076622" w:rsidP="009A68ED">
            <w:pPr>
              <w:overflowPunct/>
              <w:adjustRightInd/>
              <w:textAlignment w:val="auto"/>
              <w:rPr>
                <w:b/>
                <w:bCs/>
                <w:szCs w:val="22"/>
              </w:rPr>
            </w:pPr>
            <w:r w:rsidRPr="003E3323">
              <w:rPr>
                <w:b/>
              </w:rPr>
              <w:t>Bevoegde commissie</w:t>
            </w:r>
          </w:p>
        </w:tc>
        <w:tc>
          <w:tcPr>
            <w:tcW w:w="5170" w:type="dxa"/>
            <w:noWrap/>
          </w:tcPr>
          <w:p w14:paraId="10C7739E" w14:textId="7E6F8CC9" w:rsidR="00076622" w:rsidRPr="003E3323" w:rsidRDefault="001C09A6" w:rsidP="009A68ED">
            <w:pPr>
              <w:overflowPunct/>
              <w:adjustRightInd/>
              <w:textAlignment w:val="auto"/>
              <w:rPr>
                <w:szCs w:val="22"/>
              </w:rPr>
            </w:pPr>
            <w:r w:rsidRPr="003E3323">
              <w:t>Commissie Territoriale Samenhang en EU-begroting (COTER)</w:t>
            </w:r>
          </w:p>
        </w:tc>
      </w:tr>
      <w:tr w:rsidR="00076622" w:rsidRPr="003E3323" w14:paraId="10C773A2" w14:textId="77777777" w:rsidTr="00020CC6">
        <w:tc>
          <w:tcPr>
            <w:tcW w:w="4068" w:type="dxa"/>
          </w:tcPr>
          <w:p w14:paraId="10C773A0" w14:textId="77777777" w:rsidR="00076622" w:rsidRPr="003E3323" w:rsidRDefault="00076622" w:rsidP="009A68ED">
            <w:pPr>
              <w:overflowPunct/>
              <w:adjustRightInd/>
              <w:textAlignment w:val="auto"/>
              <w:rPr>
                <w:b/>
                <w:bCs/>
                <w:szCs w:val="22"/>
              </w:rPr>
            </w:pPr>
            <w:r w:rsidRPr="003E3323">
              <w:rPr>
                <w:b/>
              </w:rPr>
              <w:t>Rapporteur</w:t>
            </w:r>
          </w:p>
        </w:tc>
        <w:tc>
          <w:tcPr>
            <w:tcW w:w="5170" w:type="dxa"/>
            <w:noWrap/>
          </w:tcPr>
          <w:p w14:paraId="113FCBD6" w14:textId="77777777" w:rsidR="001C09A6" w:rsidRPr="003E3323" w:rsidRDefault="001C09A6" w:rsidP="009A68ED">
            <w:pPr>
              <w:overflowPunct/>
              <w:adjustRightInd/>
              <w:textAlignment w:val="auto"/>
            </w:pPr>
            <w:r w:rsidRPr="003E3323">
              <w:t>Michael Schneider (DE/EVP)</w:t>
            </w:r>
          </w:p>
          <w:p w14:paraId="10C773A1" w14:textId="577B84D1" w:rsidR="00076622" w:rsidRPr="003E3323" w:rsidRDefault="001C09A6" w:rsidP="009A68ED">
            <w:pPr>
              <w:overflowPunct/>
              <w:adjustRightInd/>
              <w:textAlignment w:val="auto"/>
              <w:rPr>
                <w:szCs w:val="22"/>
              </w:rPr>
            </w:pPr>
            <w:r w:rsidRPr="003E3323">
              <w:t>Staatssecretaris, gevolmachtigd vertegenwoordiger van de deelstaat Saksen-Anhalt op federaal niveau</w:t>
            </w:r>
          </w:p>
        </w:tc>
      </w:tr>
      <w:tr w:rsidR="00076622" w:rsidRPr="003E3323" w14:paraId="10C773A5" w14:textId="77777777" w:rsidTr="00020CC6">
        <w:tc>
          <w:tcPr>
            <w:tcW w:w="4068" w:type="dxa"/>
          </w:tcPr>
          <w:p w14:paraId="10C773A3" w14:textId="77777777" w:rsidR="00076622" w:rsidRPr="003E3323" w:rsidRDefault="00076622" w:rsidP="009A68ED">
            <w:pPr>
              <w:overflowPunct/>
              <w:adjustRightInd/>
              <w:textAlignment w:val="auto"/>
              <w:rPr>
                <w:b/>
                <w:bCs/>
                <w:szCs w:val="22"/>
              </w:rPr>
            </w:pPr>
            <w:r w:rsidRPr="003E3323">
              <w:rPr>
                <w:b/>
              </w:rPr>
              <w:t>Analysenota</w:t>
            </w:r>
          </w:p>
        </w:tc>
        <w:tc>
          <w:tcPr>
            <w:tcW w:w="5170" w:type="dxa"/>
            <w:noWrap/>
          </w:tcPr>
          <w:p w14:paraId="10C773A4" w14:textId="55F31814" w:rsidR="00076622" w:rsidRPr="003E3323" w:rsidRDefault="00A205D6" w:rsidP="009A68ED">
            <w:pPr>
              <w:overflowPunct/>
              <w:adjustRightInd/>
              <w:textAlignment w:val="auto"/>
              <w:rPr>
                <w:szCs w:val="22"/>
              </w:rPr>
            </w:pPr>
            <w:r w:rsidRPr="003E3323">
              <w:t>14 juli 2016</w:t>
            </w:r>
          </w:p>
        </w:tc>
      </w:tr>
      <w:tr w:rsidR="00076622" w:rsidRPr="003E3323" w14:paraId="10C773A8" w14:textId="77777777" w:rsidTr="00020CC6">
        <w:tc>
          <w:tcPr>
            <w:tcW w:w="4068" w:type="dxa"/>
          </w:tcPr>
          <w:p w14:paraId="10C773A6" w14:textId="77777777" w:rsidR="00076622" w:rsidRPr="003E3323" w:rsidRDefault="00076622" w:rsidP="009A68ED">
            <w:pPr>
              <w:overflowPunct/>
              <w:adjustRightInd/>
              <w:textAlignment w:val="auto"/>
              <w:rPr>
                <w:b/>
                <w:bCs/>
                <w:szCs w:val="22"/>
              </w:rPr>
            </w:pPr>
            <w:r w:rsidRPr="003E3323">
              <w:rPr>
                <w:b/>
              </w:rPr>
              <w:t>Behandeling door de commissie</w:t>
            </w:r>
          </w:p>
        </w:tc>
        <w:tc>
          <w:tcPr>
            <w:tcW w:w="5170" w:type="dxa"/>
            <w:noWrap/>
          </w:tcPr>
          <w:p w14:paraId="10C773A7" w14:textId="69EF8A49" w:rsidR="00076622" w:rsidRPr="003E3323" w:rsidRDefault="00095FA2" w:rsidP="009A68ED">
            <w:pPr>
              <w:overflowPunct/>
              <w:adjustRightInd/>
              <w:textAlignment w:val="auto"/>
              <w:rPr>
                <w:szCs w:val="22"/>
              </w:rPr>
            </w:pPr>
            <w:r w:rsidRPr="003E3323">
              <w:t>31 mei 2016 en 29 september 2016</w:t>
            </w:r>
          </w:p>
        </w:tc>
      </w:tr>
      <w:tr w:rsidR="00076622" w:rsidRPr="003E3323" w14:paraId="10C773AB" w14:textId="77777777" w:rsidTr="00020CC6">
        <w:tc>
          <w:tcPr>
            <w:tcW w:w="4068" w:type="dxa"/>
          </w:tcPr>
          <w:p w14:paraId="10C773A9" w14:textId="77777777" w:rsidR="00076622" w:rsidRPr="003E3323" w:rsidRDefault="00076622" w:rsidP="009A68ED">
            <w:pPr>
              <w:overflowPunct/>
              <w:adjustRightInd/>
              <w:textAlignment w:val="auto"/>
              <w:rPr>
                <w:b/>
                <w:bCs/>
                <w:szCs w:val="22"/>
              </w:rPr>
            </w:pPr>
            <w:r w:rsidRPr="003E3323">
              <w:rPr>
                <w:b/>
              </w:rPr>
              <w:t>Goedkeuring door de commissie</w:t>
            </w:r>
          </w:p>
        </w:tc>
        <w:tc>
          <w:tcPr>
            <w:tcW w:w="5170" w:type="dxa"/>
            <w:noWrap/>
          </w:tcPr>
          <w:p w14:paraId="10C773AA" w14:textId="3B06E657" w:rsidR="00076622" w:rsidRPr="003E3323" w:rsidRDefault="006D4D9F" w:rsidP="009A68ED">
            <w:pPr>
              <w:overflowPunct/>
              <w:adjustRightInd/>
              <w:textAlignment w:val="auto"/>
              <w:rPr>
                <w:szCs w:val="22"/>
              </w:rPr>
            </w:pPr>
            <w:r w:rsidRPr="003E3323">
              <w:t>2 maart 2017</w:t>
            </w:r>
          </w:p>
        </w:tc>
      </w:tr>
      <w:tr w:rsidR="00076622" w:rsidRPr="003E3323" w14:paraId="10C773AE" w14:textId="77777777" w:rsidTr="00020CC6">
        <w:tc>
          <w:tcPr>
            <w:tcW w:w="4068" w:type="dxa"/>
          </w:tcPr>
          <w:p w14:paraId="10C773AC" w14:textId="612590D2" w:rsidR="00076622" w:rsidRPr="003E3323" w:rsidRDefault="00076622" w:rsidP="009A68ED">
            <w:pPr>
              <w:overflowPunct/>
              <w:adjustRightInd/>
              <w:textAlignment w:val="auto"/>
              <w:rPr>
                <w:b/>
                <w:bCs/>
                <w:szCs w:val="22"/>
              </w:rPr>
            </w:pPr>
            <w:r w:rsidRPr="003E3323">
              <w:rPr>
                <w:b/>
              </w:rPr>
              <w:t>Stemuitslag in de commissie (meerderheid, algemene stemmen)</w:t>
            </w:r>
          </w:p>
        </w:tc>
        <w:tc>
          <w:tcPr>
            <w:tcW w:w="5170" w:type="dxa"/>
            <w:noWrap/>
          </w:tcPr>
          <w:p w14:paraId="10C773AD" w14:textId="4510CC37" w:rsidR="00076622" w:rsidRPr="003E3323" w:rsidRDefault="00E51F9B" w:rsidP="009A68ED">
            <w:pPr>
              <w:overflowPunct/>
              <w:adjustRightInd/>
              <w:textAlignment w:val="auto"/>
              <w:rPr>
                <w:szCs w:val="22"/>
              </w:rPr>
            </w:pPr>
            <w:r w:rsidRPr="003E3323">
              <w:t>Met meerderheid van stemmen goedgekeurd</w:t>
            </w:r>
          </w:p>
        </w:tc>
      </w:tr>
      <w:tr w:rsidR="00076622" w:rsidRPr="003E3323" w14:paraId="10C773B1" w14:textId="77777777" w:rsidTr="00020CC6">
        <w:tc>
          <w:tcPr>
            <w:tcW w:w="4068" w:type="dxa"/>
          </w:tcPr>
          <w:p w14:paraId="10C773AF" w14:textId="77777777" w:rsidR="00076622" w:rsidRPr="003E3323" w:rsidRDefault="00076622" w:rsidP="009A68ED">
            <w:pPr>
              <w:overflowPunct/>
              <w:adjustRightInd/>
              <w:jc w:val="left"/>
              <w:textAlignment w:val="auto"/>
              <w:rPr>
                <w:b/>
                <w:bCs/>
                <w:szCs w:val="22"/>
              </w:rPr>
            </w:pPr>
            <w:r w:rsidRPr="003E3323">
              <w:rPr>
                <w:b/>
              </w:rPr>
              <w:t>Goedkeuring door de voltallige vergadering</w:t>
            </w:r>
          </w:p>
        </w:tc>
        <w:tc>
          <w:tcPr>
            <w:tcW w:w="5170" w:type="dxa"/>
            <w:noWrap/>
          </w:tcPr>
          <w:p w14:paraId="10C773B0" w14:textId="1F672490" w:rsidR="00076622" w:rsidRPr="003E3323" w:rsidRDefault="006D4D9F" w:rsidP="009A68ED">
            <w:pPr>
              <w:overflowPunct/>
              <w:adjustRightInd/>
              <w:textAlignment w:val="auto"/>
              <w:rPr>
                <w:szCs w:val="22"/>
              </w:rPr>
            </w:pPr>
            <w:r w:rsidRPr="003E3323">
              <w:t xml:space="preserve">Gepland voor 11/12 mei 2017 </w:t>
            </w:r>
          </w:p>
        </w:tc>
      </w:tr>
      <w:tr w:rsidR="00076622" w:rsidRPr="003E3323" w14:paraId="10C773B4" w14:textId="77777777" w:rsidTr="00020CC6">
        <w:tc>
          <w:tcPr>
            <w:tcW w:w="4068" w:type="dxa"/>
          </w:tcPr>
          <w:p w14:paraId="10C773B2" w14:textId="77777777" w:rsidR="00076622" w:rsidRPr="003E3323" w:rsidRDefault="00076622" w:rsidP="009A68ED">
            <w:pPr>
              <w:overflowPunct/>
              <w:adjustRightInd/>
              <w:textAlignment w:val="auto"/>
              <w:rPr>
                <w:b/>
                <w:bCs/>
                <w:szCs w:val="22"/>
              </w:rPr>
            </w:pPr>
            <w:r w:rsidRPr="003E3323">
              <w:rPr>
                <w:b/>
              </w:rPr>
              <w:t>Eerdere adviezen van het Comité</w:t>
            </w:r>
          </w:p>
        </w:tc>
        <w:tc>
          <w:tcPr>
            <w:tcW w:w="5170" w:type="dxa"/>
            <w:noWrap/>
          </w:tcPr>
          <w:p w14:paraId="7B72D2AF" w14:textId="1EA44453" w:rsidR="0011732E" w:rsidRPr="003E3323" w:rsidRDefault="009A68ED" w:rsidP="009A68ED">
            <w:pPr>
              <w:overflowPunct/>
              <w:adjustRightInd/>
              <w:ind w:left="360" w:hanging="360"/>
              <w:textAlignment w:val="auto"/>
            </w:pPr>
            <w:r w:rsidRPr="003E3323">
              <w:t>EFSI 2.0 - CDR 5690/2016</w:t>
            </w:r>
            <w:r w:rsidRPr="003E3323">
              <w:rPr>
                <w:rStyle w:val="Voetnootmarkering"/>
              </w:rPr>
              <w:footnoteReference w:id="2"/>
            </w:r>
          </w:p>
          <w:p w14:paraId="048F9F49" w14:textId="57808279" w:rsidR="00076622" w:rsidRPr="003E3323" w:rsidRDefault="009A68ED" w:rsidP="00F2626A">
            <w:pPr>
              <w:overflowPunct/>
              <w:adjustRightInd/>
              <w:textAlignment w:val="auto"/>
            </w:pPr>
            <w:r w:rsidRPr="003E3323">
              <w:t>Tussentijdse herziening van het meerjarig financieel kader (MFK) – CDR 9/2016</w:t>
            </w:r>
            <w:r w:rsidRPr="003E3323">
              <w:rPr>
                <w:rStyle w:val="Voetnootmarkering"/>
              </w:rPr>
              <w:footnoteReference w:id="3"/>
            </w:r>
          </w:p>
          <w:p w14:paraId="5B997A94" w14:textId="7F486F33" w:rsidR="00351465" w:rsidRPr="003E3323" w:rsidRDefault="009A68ED" w:rsidP="00F2626A">
            <w:pPr>
              <w:overflowPunct/>
              <w:adjustRightInd/>
              <w:textAlignment w:val="auto"/>
            </w:pPr>
            <w:r w:rsidRPr="003E3323">
              <w:t>Vereenvoudiging van de ESIF vanuit het oogpunt van lokale en regionale overheden - CDR 8/2016</w:t>
            </w:r>
            <w:r w:rsidRPr="003E3323">
              <w:rPr>
                <w:rStyle w:val="Voetnootmarkering"/>
              </w:rPr>
              <w:footnoteReference w:id="4"/>
            </w:r>
          </w:p>
          <w:p w14:paraId="71156BBB" w14:textId="2D24B405" w:rsidR="00CE3DB3" w:rsidRPr="003E3323" w:rsidRDefault="009A68ED" w:rsidP="00F2626A">
            <w:pPr>
              <w:overflowPunct/>
              <w:adjustRightInd/>
              <w:textAlignment w:val="auto"/>
            </w:pPr>
            <w:r w:rsidRPr="003E3323">
              <w:t>Indicatoren voor territoriale ontwikkeling – het bbp en verder – CDR 4287/2015</w:t>
            </w:r>
            <w:r w:rsidRPr="003E3323">
              <w:rPr>
                <w:rStyle w:val="Voetnootmarkering"/>
              </w:rPr>
              <w:footnoteReference w:id="5"/>
            </w:r>
          </w:p>
          <w:p w14:paraId="1D3DC714" w14:textId="6A15E8B1" w:rsidR="00CE3DB3" w:rsidRPr="003E3323" w:rsidRDefault="009A68ED" w:rsidP="00F2626A">
            <w:pPr>
              <w:overflowPunct/>
              <w:adjustRightInd/>
              <w:textAlignment w:val="auto"/>
            </w:pPr>
            <w:r w:rsidRPr="003E3323">
              <w:t>Financiële instrumenten ter ondersteuning van territoriale ontwikkeling – CDR 1772/2015</w:t>
            </w:r>
            <w:r w:rsidRPr="003E3323">
              <w:rPr>
                <w:rStyle w:val="Voetnootmarkering"/>
              </w:rPr>
              <w:footnoteReference w:id="6"/>
            </w:r>
          </w:p>
          <w:p w14:paraId="56C466BA" w14:textId="63D0B906" w:rsidR="00CE3DB3" w:rsidRPr="003E3323" w:rsidRDefault="009A68ED" w:rsidP="00F2626A">
            <w:pPr>
              <w:overflowPunct/>
              <w:adjustRightInd/>
              <w:textAlignment w:val="auto"/>
            </w:pPr>
            <w:r w:rsidRPr="003E3323">
              <w:t>Investeringsplan en Europees Fonds voor strategische investeringen – CDR 943/2015</w:t>
            </w:r>
            <w:r w:rsidRPr="003E3323">
              <w:rPr>
                <w:rStyle w:val="Voetnootmarkering"/>
              </w:rPr>
              <w:footnoteReference w:id="7"/>
            </w:r>
          </w:p>
          <w:p w14:paraId="7887CE41" w14:textId="64AD1E38" w:rsidR="00CE3DB3" w:rsidRPr="003E3323" w:rsidRDefault="009A68ED" w:rsidP="00F2626A">
            <w:pPr>
              <w:overflowPunct/>
              <w:adjustRightInd/>
              <w:textAlignment w:val="auto"/>
            </w:pPr>
            <w:r w:rsidRPr="003E3323">
              <w:t>Uitkomst van de onderhandelingen over de partnerschapsovereenkomsten en de operationele programma's – CDR 6248/2014</w:t>
            </w:r>
            <w:r w:rsidRPr="003E3323">
              <w:rPr>
                <w:rStyle w:val="Voetnootmarkering"/>
              </w:rPr>
              <w:footnoteReference w:id="8"/>
            </w:r>
          </w:p>
          <w:p w14:paraId="577DA6A4" w14:textId="3C04D9FF" w:rsidR="00CE3DB3" w:rsidRPr="003E3323" w:rsidRDefault="009A68ED" w:rsidP="009A68ED">
            <w:pPr>
              <w:overflowPunct/>
              <w:adjustRightInd/>
              <w:ind w:left="360" w:hanging="360"/>
              <w:textAlignment w:val="auto"/>
            </w:pPr>
            <w:r w:rsidRPr="003E3323">
              <w:t>Richtsnoeren inzake de toepassing van maatregelen om doeltreffendheid van de Europese structuur- en investeringsfondsen te koppelen aan gezond economisch bestuur – CDR 6247/2014</w:t>
            </w:r>
            <w:r w:rsidRPr="003E3323">
              <w:rPr>
                <w:rStyle w:val="Voetnootmarkering"/>
              </w:rPr>
              <w:footnoteReference w:id="9"/>
            </w:r>
          </w:p>
          <w:p w14:paraId="10C773B3" w14:textId="0653B78B" w:rsidR="00512A13" w:rsidRPr="003E3323" w:rsidRDefault="00CE3DB3" w:rsidP="009A68ED">
            <w:pPr>
              <w:overflowPunct/>
              <w:adjustRightInd/>
              <w:ind w:left="360" w:hanging="360"/>
              <w:textAlignment w:val="auto"/>
              <w:rPr>
                <w:szCs w:val="22"/>
              </w:rPr>
            </w:pPr>
            <w:r w:rsidRPr="003E3323">
              <w:t>Zesde verslag inzake economische, sociale en territoriale cohesie – CDR 4896/2014</w:t>
            </w:r>
            <w:r w:rsidRPr="003E3323">
              <w:rPr>
                <w:rStyle w:val="Voetnootmarkering"/>
              </w:rPr>
              <w:footnoteReference w:id="10"/>
            </w:r>
          </w:p>
        </w:tc>
      </w:tr>
      <w:tr w:rsidR="00076622" w:rsidRPr="003E3323" w14:paraId="10C773B7" w14:textId="77777777" w:rsidTr="00020CC6">
        <w:tc>
          <w:tcPr>
            <w:tcW w:w="4068" w:type="dxa"/>
          </w:tcPr>
          <w:p w14:paraId="10C773B5" w14:textId="377AFFFC" w:rsidR="00076622" w:rsidRPr="003E3323" w:rsidRDefault="00076622" w:rsidP="009A68ED">
            <w:pPr>
              <w:overflowPunct/>
              <w:adjustRightInd/>
              <w:textAlignment w:val="auto"/>
              <w:rPr>
                <w:b/>
                <w:bCs/>
                <w:szCs w:val="22"/>
              </w:rPr>
            </w:pPr>
            <w:r w:rsidRPr="003E3323">
              <w:rPr>
                <w:b/>
              </w:rPr>
              <w:t>Raadpleging netwerk voor subsidiariteitstoezicht</w:t>
            </w:r>
          </w:p>
        </w:tc>
        <w:tc>
          <w:tcPr>
            <w:tcW w:w="5170" w:type="dxa"/>
            <w:noWrap/>
          </w:tcPr>
          <w:p w14:paraId="10C773B6" w14:textId="7F8B7A6B" w:rsidR="00076622" w:rsidRPr="003E3323" w:rsidRDefault="00D81956" w:rsidP="009A68ED">
            <w:pPr>
              <w:overflowPunct/>
              <w:adjustRightInd/>
              <w:textAlignment w:val="auto"/>
              <w:rPr>
                <w:szCs w:val="22"/>
              </w:rPr>
            </w:pPr>
            <w:r w:rsidRPr="003E3323">
              <w:t>–</w:t>
            </w:r>
          </w:p>
        </w:tc>
      </w:tr>
    </w:tbl>
    <w:p w14:paraId="10C773B8" w14:textId="77777777" w:rsidR="00076622" w:rsidRPr="003E3323" w:rsidRDefault="00076622" w:rsidP="009A68ED">
      <w:pPr>
        <w:overflowPunct/>
        <w:adjustRightInd/>
        <w:textAlignment w:val="auto"/>
      </w:pPr>
    </w:p>
    <w:p w14:paraId="10C773B9" w14:textId="77777777" w:rsidR="00076622" w:rsidRPr="003E3323" w:rsidRDefault="00076622" w:rsidP="009A68ED">
      <w:pPr>
        <w:overflowPunct/>
        <w:adjustRightInd/>
        <w:jc w:val="center"/>
        <w:textAlignment w:val="auto"/>
      </w:pPr>
      <w:r w:rsidRPr="003E3323">
        <w:t>_____________</w:t>
      </w:r>
    </w:p>
    <w:p w14:paraId="10C773BA" w14:textId="77777777" w:rsidR="00076622" w:rsidRPr="003E3323" w:rsidRDefault="00076622" w:rsidP="009A68ED">
      <w:pPr>
        <w:overflowPunct/>
        <w:adjustRightInd/>
        <w:textAlignment w:val="auto"/>
      </w:pPr>
    </w:p>
    <w:p w14:paraId="0F88C645" w14:textId="77777777" w:rsidR="00AF4270" w:rsidRPr="003E3323" w:rsidRDefault="00AF4270" w:rsidP="009A68ED">
      <w:pPr>
        <w:overflowPunct/>
        <w:adjustRightInd/>
        <w:textAlignment w:val="auto"/>
      </w:pPr>
    </w:p>
    <w:sectPr w:rsidR="00AF4270" w:rsidRPr="003E3323" w:rsidSect="00916648">
      <w:headerReference w:type="even" r:id="rId21"/>
      <w:headerReference w:type="default" r:id="rId22"/>
      <w:footerReference w:type="even" r:id="rId23"/>
      <w:footerReference w:type="default" r:id="rId24"/>
      <w:headerReference w:type="first" r:id="rId25"/>
      <w:footerReference w:type="first" r:id="rId26"/>
      <w:pgSz w:w="11907" w:h="16839" w:code="9"/>
      <w:pgMar w:top="1417" w:right="1417" w:bottom="1417" w:left="1417"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DE8E32" w14:textId="77777777" w:rsidR="00D066A8" w:rsidRDefault="00D066A8">
      <w:r>
        <w:separator/>
      </w:r>
    </w:p>
  </w:endnote>
  <w:endnote w:type="continuationSeparator" w:id="0">
    <w:p w14:paraId="01060EB0" w14:textId="77777777" w:rsidR="00D066A8" w:rsidRDefault="00D06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EB029" w14:textId="77777777" w:rsidR="00916648" w:rsidRPr="00916648" w:rsidRDefault="00916648" w:rsidP="0091664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773C5" w14:textId="7A891F5B" w:rsidR="009914FA" w:rsidRPr="00916648" w:rsidRDefault="00916648" w:rsidP="00916648">
    <w:pPr>
      <w:pStyle w:val="Voettekst"/>
    </w:pPr>
    <w:r>
      <w:t xml:space="preserve">COR-2016-01814-00-00-PAC-TRA (EN) </w:t>
    </w:r>
    <w:r>
      <w:fldChar w:fldCharType="begin"/>
    </w:r>
    <w:r>
      <w:instrText xml:space="preserve"> PAGE  \* Arabic  \* MERGEFORMAT </w:instrText>
    </w:r>
    <w:r>
      <w:fldChar w:fldCharType="separate"/>
    </w:r>
    <w:r w:rsidR="003A4AA4">
      <w:rPr>
        <w:noProof/>
      </w:rPr>
      <w:t>1</w:t>
    </w:r>
    <w:r>
      <w:fldChar w:fldCharType="end"/>
    </w:r>
    <w:r>
      <w:t>/</w:t>
    </w:r>
    <w:r>
      <w:fldChar w:fldCharType="begin"/>
    </w:r>
    <w:r>
      <w:instrText xml:space="preserve"> = </w:instrText>
    </w:r>
    <w:fldSimple w:instr=" NUMPAGES ">
      <w:r w:rsidR="003A4AA4">
        <w:rPr>
          <w:noProof/>
        </w:rPr>
        <w:instrText>4</w:instrText>
      </w:r>
    </w:fldSimple>
    <w:r>
      <w:instrText xml:space="preserve"> -0 </w:instrText>
    </w:r>
    <w:r>
      <w:fldChar w:fldCharType="separate"/>
    </w:r>
    <w:r w:rsidR="003A4AA4">
      <w:rPr>
        <w:noProof/>
      </w:rPr>
      <w:t>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C5B1E" w14:textId="77777777" w:rsidR="00916648" w:rsidRPr="00916648" w:rsidRDefault="00916648" w:rsidP="00916648">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E03CC" w14:textId="77777777" w:rsidR="009914FA" w:rsidRPr="00916648" w:rsidRDefault="009914FA" w:rsidP="00916648">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773C7" w14:textId="178B6668" w:rsidR="009914FA" w:rsidRPr="00916648" w:rsidRDefault="00916648" w:rsidP="00916648">
    <w:pPr>
      <w:pStyle w:val="Voettekst"/>
    </w:pPr>
    <w:r>
      <w:t xml:space="preserve">COR-2016-01814-00-00-PAC-TRA (EN) </w:t>
    </w:r>
    <w:r>
      <w:fldChar w:fldCharType="begin"/>
    </w:r>
    <w:r>
      <w:instrText xml:space="preserve"> PAGE  \* Arabic  \* MERGEFORMAT </w:instrText>
    </w:r>
    <w:r>
      <w:fldChar w:fldCharType="separate"/>
    </w:r>
    <w:r w:rsidR="003A4AA4">
      <w:rPr>
        <w:noProof/>
      </w:rPr>
      <w:t>2</w:t>
    </w:r>
    <w:r>
      <w:fldChar w:fldCharType="end"/>
    </w:r>
    <w:r>
      <w:t>/</w:t>
    </w:r>
    <w:r>
      <w:fldChar w:fldCharType="begin"/>
    </w:r>
    <w:r>
      <w:instrText xml:space="preserve"> = </w:instrText>
    </w:r>
    <w:fldSimple w:instr=" NUMPAGES ">
      <w:r w:rsidR="003A4AA4">
        <w:rPr>
          <w:noProof/>
        </w:rPr>
        <w:instrText>5</w:instrText>
      </w:r>
    </w:fldSimple>
    <w:r>
      <w:instrText xml:space="preserve"> -0 </w:instrText>
    </w:r>
    <w:r>
      <w:fldChar w:fldCharType="separate"/>
    </w:r>
    <w:r w:rsidR="003A4AA4">
      <w:rPr>
        <w:noProof/>
      </w:rPr>
      <w:t>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773C8" w14:textId="77777777" w:rsidR="009914FA" w:rsidRPr="00916648" w:rsidRDefault="009914FA" w:rsidP="0091664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6580DB" w14:textId="77777777" w:rsidR="00D066A8" w:rsidRDefault="00D066A8">
      <w:r>
        <w:separator/>
      </w:r>
    </w:p>
  </w:footnote>
  <w:footnote w:type="continuationSeparator" w:id="0">
    <w:p w14:paraId="669B1B09" w14:textId="77777777" w:rsidR="00D066A8" w:rsidRDefault="00D066A8">
      <w:r>
        <w:continuationSeparator/>
      </w:r>
    </w:p>
  </w:footnote>
  <w:footnote w:id="1">
    <w:p w14:paraId="3F803969" w14:textId="108BE543" w:rsidR="009914FA" w:rsidRPr="009A68ED" w:rsidRDefault="009914FA" w:rsidP="009A68ED">
      <w:pPr>
        <w:pStyle w:val="Voetnoottekst"/>
        <w:rPr>
          <w:lang w:val="de-DE"/>
        </w:rPr>
      </w:pPr>
      <w:r>
        <w:rPr>
          <w:rStyle w:val="Voetnootmarkering"/>
        </w:rPr>
        <w:footnoteRef/>
      </w:r>
      <w:r>
        <w:rPr>
          <w:rStyle w:val="Voetnootmarkering"/>
        </w:rPr>
        <w:t xml:space="preserve"> </w:t>
      </w:r>
      <w:r>
        <w:tab/>
      </w:r>
      <w:hyperlink r:id="rId1">
        <w:r>
          <w:rPr>
            <w:rStyle w:val="Hyperlink"/>
          </w:rPr>
          <w:t>http://cor.europa.eu/en/documentation/studies/Documents/eu-added-value-test-to-justify-eu-spending.pdf</w:t>
        </w:r>
      </w:hyperlink>
      <w:r>
        <w:t>.</w:t>
      </w:r>
    </w:p>
  </w:footnote>
  <w:footnote w:id="2">
    <w:p w14:paraId="1EDDD6F5" w14:textId="76081B34" w:rsidR="009A68ED" w:rsidRPr="009A68ED" w:rsidRDefault="009A68ED" w:rsidP="00163CA5">
      <w:pPr>
        <w:pStyle w:val="Voetnoottekst"/>
        <w:rPr>
          <w:lang w:val="de-DE"/>
        </w:rPr>
      </w:pPr>
      <w:r>
        <w:rPr>
          <w:rStyle w:val="Voetnootmarkering"/>
        </w:rPr>
        <w:footnoteRef/>
      </w:r>
      <w:r>
        <w:rPr>
          <w:rStyle w:val="Voetnootmarkering"/>
        </w:rPr>
        <w:t xml:space="preserve"> </w:t>
      </w:r>
      <w:r>
        <w:tab/>
        <w:t>Nog niet gepubliceerd in het Publicatieblad van de Europese Unie.</w:t>
      </w:r>
    </w:p>
  </w:footnote>
  <w:footnote w:id="3">
    <w:p w14:paraId="781A4467" w14:textId="55A0D1E3" w:rsidR="009A68ED" w:rsidRPr="009A68ED" w:rsidRDefault="009A68ED" w:rsidP="00163CA5">
      <w:pPr>
        <w:pStyle w:val="Voetnoottekst"/>
        <w:rPr>
          <w:lang w:val="de-DE"/>
        </w:rPr>
      </w:pPr>
      <w:r>
        <w:rPr>
          <w:rStyle w:val="Voetnootmarkering"/>
        </w:rPr>
        <w:footnoteRef/>
      </w:r>
      <w:r>
        <w:rPr>
          <w:rStyle w:val="Voetnootmarkering"/>
        </w:rPr>
        <w:t xml:space="preserve"> </w:t>
      </w:r>
      <w:r>
        <w:tab/>
        <w:t>PB C 17 van 18.1.2017, blz. 20</w:t>
      </w:r>
    </w:p>
  </w:footnote>
  <w:footnote w:id="4">
    <w:p w14:paraId="18DEFEED" w14:textId="7075F381" w:rsidR="009A68ED" w:rsidRPr="009A68ED" w:rsidRDefault="009A68ED" w:rsidP="00163CA5">
      <w:pPr>
        <w:pStyle w:val="Voetnoottekst"/>
        <w:rPr>
          <w:lang w:val="de-DE"/>
        </w:rPr>
      </w:pPr>
      <w:r>
        <w:rPr>
          <w:rStyle w:val="Voetnootmarkering"/>
        </w:rPr>
        <w:footnoteRef/>
      </w:r>
      <w:r>
        <w:rPr>
          <w:rStyle w:val="Voetnootmarkering"/>
        </w:rPr>
        <w:t xml:space="preserve"> </w:t>
      </w:r>
      <w:r>
        <w:tab/>
        <w:t>Nog niet gepubliceerd in het Publicatieblad van de Europese Unie.</w:t>
      </w:r>
    </w:p>
  </w:footnote>
  <w:footnote w:id="5">
    <w:p w14:paraId="741AED65" w14:textId="6E78007A" w:rsidR="009A68ED" w:rsidRPr="009A68ED" w:rsidRDefault="009A68ED" w:rsidP="00163CA5">
      <w:pPr>
        <w:pStyle w:val="Voetnoottekst"/>
        <w:rPr>
          <w:lang w:val="de-DE"/>
        </w:rPr>
      </w:pPr>
      <w:r>
        <w:rPr>
          <w:rStyle w:val="Voetnootmarkering"/>
        </w:rPr>
        <w:footnoteRef/>
      </w:r>
      <w:r>
        <w:rPr>
          <w:rStyle w:val="Voetnootmarkering"/>
        </w:rPr>
        <w:t xml:space="preserve"> </w:t>
      </w:r>
      <w:r>
        <w:tab/>
      </w:r>
      <w:hyperlink r:id="rId2">
        <w:r>
          <w:rPr>
            <w:rStyle w:val="Hyperlink"/>
          </w:rPr>
          <w:t>PB C 120 van 5.4.2016, blz. 16</w:t>
        </w:r>
      </w:hyperlink>
    </w:p>
  </w:footnote>
  <w:footnote w:id="6">
    <w:p w14:paraId="658CAD4F" w14:textId="6D2F9C64" w:rsidR="009A68ED" w:rsidRPr="009A68ED" w:rsidRDefault="009A68ED" w:rsidP="00163CA5">
      <w:pPr>
        <w:pStyle w:val="Voetnoottekst"/>
        <w:rPr>
          <w:lang w:val="de-DE"/>
        </w:rPr>
      </w:pPr>
      <w:r>
        <w:rPr>
          <w:rStyle w:val="Voetnootmarkering"/>
        </w:rPr>
        <w:footnoteRef/>
      </w:r>
      <w:r>
        <w:rPr>
          <w:rStyle w:val="Voetnootmarkering"/>
        </w:rPr>
        <w:t xml:space="preserve"> </w:t>
      </w:r>
      <w:r>
        <w:tab/>
      </w:r>
      <w:hyperlink r:id="rId3">
        <w:r>
          <w:rPr>
            <w:rStyle w:val="Hyperlink"/>
          </w:rPr>
          <w:t>PB C 423 van 17.12.2015, blz. 35</w:t>
        </w:r>
      </w:hyperlink>
    </w:p>
  </w:footnote>
  <w:footnote w:id="7">
    <w:p w14:paraId="595719CF" w14:textId="5EF0EA35" w:rsidR="009A68ED" w:rsidRPr="009A68ED" w:rsidRDefault="009A68ED" w:rsidP="00163CA5">
      <w:pPr>
        <w:pStyle w:val="Voetnoottekst"/>
        <w:rPr>
          <w:lang w:val="de-DE"/>
        </w:rPr>
      </w:pPr>
      <w:r>
        <w:rPr>
          <w:rStyle w:val="Voetnootmarkering"/>
        </w:rPr>
        <w:footnoteRef/>
      </w:r>
      <w:r>
        <w:rPr>
          <w:rStyle w:val="Voetnootmarkering"/>
        </w:rPr>
        <w:t xml:space="preserve"> </w:t>
      </w:r>
      <w:r>
        <w:tab/>
      </w:r>
      <w:hyperlink r:id="rId4">
        <w:r>
          <w:rPr>
            <w:rStyle w:val="Hyperlink"/>
          </w:rPr>
          <w:t>PB C 195 van 12.6.2015, blz. 41</w:t>
        </w:r>
      </w:hyperlink>
    </w:p>
  </w:footnote>
  <w:footnote w:id="8">
    <w:p w14:paraId="606D3BEF" w14:textId="08DD1E89" w:rsidR="009A68ED" w:rsidRPr="009A68ED" w:rsidRDefault="009A68ED" w:rsidP="00163CA5">
      <w:pPr>
        <w:pStyle w:val="Voetnoottekst"/>
        <w:rPr>
          <w:lang w:val="de-DE"/>
        </w:rPr>
      </w:pPr>
      <w:r>
        <w:rPr>
          <w:rStyle w:val="Voetnootmarkering"/>
        </w:rPr>
        <w:footnoteRef/>
      </w:r>
      <w:r>
        <w:rPr>
          <w:rStyle w:val="Voetnootmarkering"/>
        </w:rPr>
        <w:t xml:space="preserve"> </w:t>
      </w:r>
      <w:r>
        <w:tab/>
      </w:r>
      <w:hyperlink r:id="rId5">
        <w:r>
          <w:rPr>
            <w:rStyle w:val="Hyperlink"/>
          </w:rPr>
          <w:t>PB C 313 van 22.9.2015, blz. 31</w:t>
        </w:r>
      </w:hyperlink>
    </w:p>
  </w:footnote>
  <w:footnote w:id="9">
    <w:p w14:paraId="212BCFC0" w14:textId="7DD246DB" w:rsidR="009A68ED" w:rsidRPr="009A68ED" w:rsidRDefault="009A68ED" w:rsidP="00163CA5">
      <w:pPr>
        <w:pStyle w:val="Voetnoottekst"/>
        <w:rPr>
          <w:lang w:val="de-DE"/>
        </w:rPr>
      </w:pPr>
      <w:r>
        <w:rPr>
          <w:rStyle w:val="Voetnootmarkering"/>
        </w:rPr>
        <w:footnoteRef/>
      </w:r>
      <w:r>
        <w:rPr>
          <w:rStyle w:val="Voetnootmarkering"/>
        </w:rPr>
        <w:t xml:space="preserve"> </w:t>
      </w:r>
      <w:r>
        <w:tab/>
      </w:r>
      <w:hyperlink r:id="rId6">
        <w:r>
          <w:rPr>
            <w:rStyle w:val="Hyperlink"/>
          </w:rPr>
          <w:t>PB C 140 van 28.4.2015, blz. 28</w:t>
        </w:r>
      </w:hyperlink>
    </w:p>
  </w:footnote>
  <w:footnote w:id="10">
    <w:p w14:paraId="54B4FFAD" w14:textId="0690F090" w:rsidR="009914FA" w:rsidRPr="009A68ED" w:rsidRDefault="009914FA" w:rsidP="009A68ED">
      <w:pPr>
        <w:pStyle w:val="Voetnoottekst"/>
      </w:pPr>
      <w:r>
        <w:rPr>
          <w:rStyle w:val="Voetnootmarkering"/>
        </w:rPr>
        <w:footnoteRef/>
      </w:r>
      <w:r>
        <w:rPr>
          <w:rStyle w:val="Voetnootmarkering"/>
        </w:rPr>
        <w:t xml:space="preserve"> </w:t>
      </w:r>
      <w:r>
        <w:tab/>
      </w:r>
      <w:hyperlink r:id="rId7">
        <w:r>
          <w:rPr>
            <w:rStyle w:val="Hyperlink"/>
          </w:rPr>
          <w:t>PB C 19 van 21.1.2015, blz. 9</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B3BAB" w14:textId="77777777" w:rsidR="00916648" w:rsidRPr="00916648" w:rsidRDefault="00916648" w:rsidP="0091664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1C575" w14:textId="77777777" w:rsidR="00916648" w:rsidRPr="00916648" w:rsidRDefault="00916648" w:rsidP="0091664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8A4A8" w14:textId="77777777" w:rsidR="00916648" w:rsidRPr="00916648" w:rsidRDefault="00916648" w:rsidP="00916648">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169B0" w14:textId="77777777" w:rsidR="009914FA" w:rsidRPr="00916648" w:rsidRDefault="009914FA" w:rsidP="00916648">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773C6" w14:textId="7814CF89" w:rsidR="009914FA" w:rsidRPr="00916648" w:rsidRDefault="009914FA" w:rsidP="00916648">
    <w:pPr>
      <w:pStyle w:val="Ko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32AEF" w14:textId="77777777" w:rsidR="009914FA" w:rsidRPr="00916648" w:rsidRDefault="009914FA" w:rsidP="0091664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8DA679E8"/>
    <w:lvl w:ilvl="0">
      <w:start w:val="1"/>
      <w:numFmt w:val="decimal"/>
      <w:pStyle w:val="Kop1"/>
      <w:lvlText w:val="%1."/>
      <w:legacy w:legacy="1" w:legacySpace="0" w:legacyIndent="0"/>
      <w:lvlJc w:val="left"/>
    </w:lvl>
    <w:lvl w:ilvl="1">
      <w:start w:val="1"/>
      <w:numFmt w:val="decimal"/>
      <w:pStyle w:val="Kop2"/>
      <w:lvlText w:val="%1.%2"/>
      <w:legacy w:legacy="1" w:legacySpace="144" w:legacyIndent="0"/>
      <w:lvlJc w:val="left"/>
    </w:lvl>
    <w:lvl w:ilvl="2">
      <w:start w:val="1"/>
      <w:numFmt w:val="decimal"/>
      <w:pStyle w:val="Kop3"/>
      <w:lvlText w:val="%1.%2.%3"/>
      <w:legacy w:legacy="1" w:legacySpace="144" w:legacyIndent="0"/>
      <w:lvlJc w:val="left"/>
    </w:lvl>
    <w:lvl w:ilvl="3">
      <w:start w:val="1"/>
      <w:numFmt w:val="decimal"/>
      <w:pStyle w:val="Kop4"/>
      <w:lvlText w:val="%1.%2.%3.%4"/>
      <w:legacy w:legacy="1" w:legacySpace="144" w:legacyIndent="0"/>
      <w:lvlJc w:val="left"/>
    </w:lvl>
    <w:lvl w:ilvl="4">
      <w:start w:val="1"/>
      <w:numFmt w:val="decimal"/>
      <w:pStyle w:val="Kop5"/>
      <w:lvlText w:val="%1.%2.%3.%4.%5"/>
      <w:legacy w:legacy="1" w:legacySpace="144" w:legacyIndent="0"/>
      <w:lvlJc w:val="left"/>
    </w:lvl>
    <w:lvl w:ilvl="5">
      <w:start w:val="1"/>
      <w:numFmt w:val="decimal"/>
      <w:pStyle w:val="Kop6"/>
      <w:lvlText w:val="%1.%2.%3.%4.%5.%6"/>
      <w:legacy w:legacy="1" w:legacySpace="144" w:legacyIndent="0"/>
      <w:lvlJc w:val="left"/>
    </w:lvl>
    <w:lvl w:ilvl="6">
      <w:start w:val="1"/>
      <w:numFmt w:val="decimal"/>
      <w:pStyle w:val="Kop7"/>
      <w:lvlText w:val="%1.%2.%3.%4.%5.%6.%7"/>
      <w:legacy w:legacy="1" w:legacySpace="144" w:legacyIndent="0"/>
      <w:lvlJc w:val="left"/>
    </w:lvl>
    <w:lvl w:ilvl="7">
      <w:start w:val="1"/>
      <w:numFmt w:val="decimal"/>
      <w:pStyle w:val="Kop8"/>
      <w:lvlText w:val="%1.%2.%3.%4.%5.%6.%7.%8"/>
      <w:legacy w:legacy="1" w:legacySpace="144" w:legacyIndent="0"/>
      <w:lvlJc w:val="left"/>
    </w:lvl>
    <w:lvl w:ilvl="8">
      <w:start w:val="1"/>
      <w:numFmt w:val="decimal"/>
      <w:pStyle w:val="Kop9"/>
      <w:lvlText w:val="%1.%2.%3.%4.%5.%6.%7.%8.%9"/>
      <w:legacy w:legacy="1" w:legacySpace="144" w:legacyIndent="0"/>
      <w:lvlJc w:val="left"/>
    </w:lvl>
  </w:abstractNum>
  <w:abstractNum w:abstractNumId="1" w15:restartNumberingAfterBreak="0">
    <w:nsid w:val="065B7C43"/>
    <w:multiLevelType w:val="singleLevel"/>
    <w:tmpl w:val="8C96EA0C"/>
    <w:lvl w:ilvl="0">
      <w:start w:val="1"/>
      <w:numFmt w:val="bullet"/>
      <w:lvlText w:val=""/>
      <w:lvlJc w:val="left"/>
      <w:pPr>
        <w:ind w:left="360" w:hanging="360"/>
      </w:pPr>
      <w:rPr>
        <w:rFonts w:ascii="Symbol" w:hAnsi="Symbol" w:hint="default"/>
        <w:b w:val="0"/>
        <w:i w:val="0"/>
        <w:sz w:val="22"/>
      </w:rPr>
    </w:lvl>
  </w:abstractNum>
  <w:abstractNum w:abstractNumId="2" w15:restartNumberingAfterBreak="0">
    <w:nsid w:val="0C526AA7"/>
    <w:multiLevelType w:val="hybridMultilevel"/>
    <w:tmpl w:val="8C96EA0C"/>
    <w:lvl w:ilvl="0" w:tplc="AD30B13A">
      <w:start w:val="1"/>
      <w:numFmt w:val="bullet"/>
      <w:lvlText w:val=""/>
      <w:lvlJc w:val="left"/>
      <w:pPr>
        <w:ind w:left="360" w:hanging="360"/>
      </w:pPr>
      <w:rPr>
        <w:rFonts w:ascii="Symbol" w:hAnsi="Symbol" w:hint="default"/>
        <w:b w:val="0"/>
        <w:i w:val="0"/>
        <w:sz w:val="22"/>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 w15:restartNumberingAfterBreak="0">
    <w:nsid w:val="104E2716"/>
    <w:multiLevelType w:val="singleLevel"/>
    <w:tmpl w:val="8C96EA0C"/>
    <w:lvl w:ilvl="0">
      <w:start w:val="1"/>
      <w:numFmt w:val="bullet"/>
      <w:lvlText w:val=""/>
      <w:lvlJc w:val="left"/>
      <w:pPr>
        <w:ind w:left="360" w:hanging="360"/>
      </w:pPr>
      <w:rPr>
        <w:rFonts w:ascii="Symbol" w:hAnsi="Symbol" w:hint="default"/>
        <w:b w:val="0"/>
        <w:i w:val="0"/>
        <w:sz w:val="22"/>
      </w:rPr>
    </w:lvl>
  </w:abstractNum>
  <w:abstractNum w:abstractNumId="4" w15:restartNumberingAfterBreak="0">
    <w:nsid w:val="15CB37F0"/>
    <w:multiLevelType w:val="singleLevel"/>
    <w:tmpl w:val="8C96EA0C"/>
    <w:lvl w:ilvl="0">
      <w:start w:val="1"/>
      <w:numFmt w:val="bullet"/>
      <w:lvlText w:val=""/>
      <w:lvlJc w:val="left"/>
      <w:pPr>
        <w:ind w:left="360" w:hanging="360"/>
      </w:pPr>
      <w:rPr>
        <w:rFonts w:ascii="Symbol" w:hAnsi="Symbol" w:hint="default"/>
        <w:b w:val="0"/>
        <w:i w:val="0"/>
        <w:sz w:val="22"/>
      </w:rPr>
    </w:lvl>
  </w:abstractNum>
  <w:abstractNum w:abstractNumId="5" w15:restartNumberingAfterBreak="0">
    <w:nsid w:val="32855AB0"/>
    <w:multiLevelType w:val="singleLevel"/>
    <w:tmpl w:val="8C96EA0C"/>
    <w:lvl w:ilvl="0">
      <w:start w:val="1"/>
      <w:numFmt w:val="bullet"/>
      <w:lvlText w:val=""/>
      <w:lvlJc w:val="left"/>
      <w:pPr>
        <w:ind w:left="360" w:hanging="360"/>
      </w:pPr>
      <w:rPr>
        <w:rFonts w:ascii="Symbol" w:hAnsi="Symbol" w:hint="default"/>
        <w:b w:val="0"/>
        <w:i w:val="0"/>
        <w:sz w:val="22"/>
      </w:rPr>
    </w:lvl>
  </w:abstractNum>
  <w:abstractNum w:abstractNumId="6" w15:restartNumberingAfterBreak="0">
    <w:nsid w:val="47EA3296"/>
    <w:multiLevelType w:val="singleLevel"/>
    <w:tmpl w:val="8C96EA0C"/>
    <w:lvl w:ilvl="0">
      <w:start w:val="1"/>
      <w:numFmt w:val="bullet"/>
      <w:lvlText w:val=""/>
      <w:lvlJc w:val="left"/>
      <w:pPr>
        <w:ind w:left="360" w:hanging="360"/>
      </w:pPr>
      <w:rPr>
        <w:rFonts w:ascii="Symbol" w:hAnsi="Symbol" w:hint="default"/>
        <w:b w:val="0"/>
        <w:i w:val="0"/>
        <w:sz w:val="22"/>
      </w:rPr>
    </w:lvl>
  </w:abstractNum>
  <w:abstractNum w:abstractNumId="7" w15:restartNumberingAfterBreak="0">
    <w:nsid w:val="4A2C2F85"/>
    <w:multiLevelType w:val="singleLevel"/>
    <w:tmpl w:val="8C96EA0C"/>
    <w:lvl w:ilvl="0">
      <w:start w:val="1"/>
      <w:numFmt w:val="bullet"/>
      <w:lvlText w:val=""/>
      <w:lvlJc w:val="left"/>
      <w:pPr>
        <w:ind w:left="360" w:hanging="360"/>
      </w:pPr>
      <w:rPr>
        <w:rFonts w:ascii="Symbol" w:hAnsi="Symbol" w:hint="default"/>
        <w:b w:val="0"/>
        <w:i w:val="0"/>
        <w:sz w:val="22"/>
      </w:rPr>
    </w:lvl>
  </w:abstractNum>
  <w:abstractNum w:abstractNumId="8" w15:restartNumberingAfterBreak="0">
    <w:nsid w:val="61B23715"/>
    <w:multiLevelType w:val="singleLevel"/>
    <w:tmpl w:val="8C96EA0C"/>
    <w:lvl w:ilvl="0">
      <w:start w:val="1"/>
      <w:numFmt w:val="bullet"/>
      <w:lvlText w:val=""/>
      <w:lvlJc w:val="left"/>
      <w:pPr>
        <w:ind w:left="360" w:hanging="360"/>
      </w:pPr>
      <w:rPr>
        <w:rFonts w:ascii="Symbol" w:hAnsi="Symbol" w:hint="default"/>
        <w:b w:val="0"/>
        <w:i w:val="0"/>
        <w:sz w:val="22"/>
      </w:rPr>
    </w:lvl>
  </w:abstractNum>
  <w:abstractNum w:abstractNumId="9" w15:restartNumberingAfterBreak="0">
    <w:nsid w:val="66D67E2C"/>
    <w:multiLevelType w:val="hybridMultilevel"/>
    <w:tmpl w:val="0992966C"/>
    <w:lvl w:ilvl="0" w:tplc="83447096">
      <w:start w:val="1"/>
      <w:numFmt w:val="upperRoman"/>
      <w:lvlText w:val="%1."/>
      <w:lvlJc w:val="left"/>
      <w:pPr>
        <w:ind w:left="720" w:hanging="360"/>
      </w:pPr>
      <w:rPr>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83C0F46"/>
    <w:multiLevelType w:val="singleLevel"/>
    <w:tmpl w:val="8C96EA0C"/>
    <w:lvl w:ilvl="0">
      <w:start w:val="1"/>
      <w:numFmt w:val="bullet"/>
      <w:lvlText w:val=""/>
      <w:lvlJc w:val="left"/>
      <w:pPr>
        <w:ind w:left="360" w:hanging="360"/>
      </w:pPr>
      <w:rPr>
        <w:rFonts w:ascii="Symbol" w:hAnsi="Symbol" w:hint="default"/>
        <w:b w:val="0"/>
        <w:i w:val="0"/>
        <w:sz w:val="22"/>
      </w:rPr>
    </w:lvl>
  </w:abstractNum>
  <w:num w:numId="1">
    <w:abstractNumId w:val="0"/>
  </w:num>
  <w:num w:numId="2">
    <w:abstractNumId w:val="9"/>
  </w:num>
  <w:num w:numId="3">
    <w:abstractNumId w:val="2"/>
  </w:num>
  <w:num w:numId="4">
    <w:abstractNumId w:val="7"/>
  </w:num>
  <w:num w:numId="5">
    <w:abstractNumId w:val="10"/>
  </w:num>
  <w:num w:numId="6">
    <w:abstractNumId w:val="4"/>
  </w:num>
  <w:num w:numId="7">
    <w:abstractNumId w:val="5"/>
  </w:num>
  <w:num w:numId="8">
    <w:abstractNumId w:val="3"/>
  </w:num>
  <w:num w:numId="9">
    <w:abstractNumId w:val="6"/>
  </w:num>
  <w:num w:numId="10">
    <w:abstractNumId w:val="1"/>
  </w:num>
  <w:num w:numId="11">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357"/>
  <w:doNotHyphenateCaps/>
  <w:drawingGridHorizontalSpacing w:val="110"/>
  <w:drawingGridVerticalSpacing w:val="299"/>
  <w:displayHorizontalDrawingGridEvery w:val="2"/>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779"/>
    <w:rsid w:val="0000142D"/>
    <w:rsid w:val="00013C4F"/>
    <w:rsid w:val="00013E70"/>
    <w:rsid w:val="0001457F"/>
    <w:rsid w:val="00020CC6"/>
    <w:rsid w:val="00030A5F"/>
    <w:rsid w:val="00035DB1"/>
    <w:rsid w:val="00036719"/>
    <w:rsid w:val="00046EFC"/>
    <w:rsid w:val="0006374C"/>
    <w:rsid w:val="00063CCD"/>
    <w:rsid w:val="00064678"/>
    <w:rsid w:val="00064ADF"/>
    <w:rsid w:val="0007263C"/>
    <w:rsid w:val="00075D40"/>
    <w:rsid w:val="00076622"/>
    <w:rsid w:val="0008249B"/>
    <w:rsid w:val="000826E1"/>
    <w:rsid w:val="000872A9"/>
    <w:rsid w:val="00090C4B"/>
    <w:rsid w:val="000923EE"/>
    <w:rsid w:val="00092D40"/>
    <w:rsid w:val="00095FA2"/>
    <w:rsid w:val="00096FD1"/>
    <w:rsid w:val="000A42B8"/>
    <w:rsid w:val="000A48B6"/>
    <w:rsid w:val="000A6A3B"/>
    <w:rsid w:val="000C18BF"/>
    <w:rsid w:val="000C3490"/>
    <w:rsid w:val="000C6414"/>
    <w:rsid w:val="000D4F2C"/>
    <w:rsid w:val="000F5C60"/>
    <w:rsid w:val="00101DB6"/>
    <w:rsid w:val="00107616"/>
    <w:rsid w:val="0011732E"/>
    <w:rsid w:val="0012298E"/>
    <w:rsid w:val="00122D00"/>
    <w:rsid w:val="00123ED0"/>
    <w:rsid w:val="0012532F"/>
    <w:rsid w:val="00125E91"/>
    <w:rsid w:val="00131F83"/>
    <w:rsid w:val="00134555"/>
    <w:rsid w:val="001504AA"/>
    <w:rsid w:val="0015581E"/>
    <w:rsid w:val="0016269E"/>
    <w:rsid w:val="00162BA5"/>
    <w:rsid w:val="001634A8"/>
    <w:rsid w:val="00163EFC"/>
    <w:rsid w:val="001721F8"/>
    <w:rsid w:val="001866BF"/>
    <w:rsid w:val="00196A7E"/>
    <w:rsid w:val="001A0904"/>
    <w:rsid w:val="001A11F5"/>
    <w:rsid w:val="001A3185"/>
    <w:rsid w:val="001A48FD"/>
    <w:rsid w:val="001A5587"/>
    <w:rsid w:val="001A6F7F"/>
    <w:rsid w:val="001B1491"/>
    <w:rsid w:val="001B3FE6"/>
    <w:rsid w:val="001B6B67"/>
    <w:rsid w:val="001C09A6"/>
    <w:rsid w:val="001C2CEC"/>
    <w:rsid w:val="001C3A2C"/>
    <w:rsid w:val="001D1CBE"/>
    <w:rsid w:val="001D2318"/>
    <w:rsid w:val="001E6D56"/>
    <w:rsid w:val="001F2567"/>
    <w:rsid w:val="00212F0A"/>
    <w:rsid w:val="00221824"/>
    <w:rsid w:val="00236377"/>
    <w:rsid w:val="002432DF"/>
    <w:rsid w:val="00247A41"/>
    <w:rsid w:val="00260A6D"/>
    <w:rsid w:val="0026703F"/>
    <w:rsid w:val="002717AD"/>
    <w:rsid w:val="00277374"/>
    <w:rsid w:val="0028226A"/>
    <w:rsid w:val="00287D4C"/>
    <w:rsid w:val="00291F49"/>
    <w:rsid w:val="00294E07"/>
    <w:rsid w:val="002953AF"/>
    <w:rsid w:val="00296250"/>
    <w:rsid w:val="002B0ADE"/>
    <w:rsid w:val="002C00E8"/>
    <w:rsid w:val="002D23A9"/>
    <w:rsid w:val="002E1AD3"/>
    <w:rsid w:val="002F6582"/>
    <w:rsid w:val="00303103"/>
    <w:rsid w:val="0030599B"/>
    <w:rsid w:val="0031063E"/>
    <w:rsid w:val="00311B6C"/>
    <w:rsid w:val="00333866"/>
    <w:rsid w:val="0033429B"/>
    <w:rsid w:val="00336C64"/>
    <w:rsid w:val="003379B1"/>
    <w:rsid w:val="0034174D"/>
    <w:rsid w:val="00341E86"/>
    <w:rsid w:val="00343ACB"/>
    <w:rsid w:val="00350C40"/>
    <w:rsid w:val="00351465"/>
    <w:rsid w:val="00355527"/>
    <w:rsid w:val="00364415"/>
    <w:rsid w:val="00365EFF"/>
    <w:rsid w:val="0038065A"/>
    <w:rsid w:val="003817AC"/>
    <w:rsid w:val="003867A4"/>
    <w:rsid w:val="0039713A"/>
    <w:rsid w:val="003A4AA4"/>
    <w:rsid w:val="003B1358"/>
    <w:rsid w:val="003B3904"/>
    <w:rsid w:val="003C0FE6"/>
    <w:rsid w:val="003C3D3E"/>
    <w:rsid w:val="003C4F81"/>
    <w:rsid w:val="003E1255"/>
    <w:rsid w:val="003E32EB"/>
    <w:rsid w:val="003E3323"/>
    <w:rsid w:val="003E5777"/>
    <w:rsid w:val="003E6395"/>
    <w:rsid w:val="003E667E"/>
    <w:rsid w:val="003E6754"/>
    <w:rsid w:val="003E6DCD"/>
    <w:rsid w:val="003E77CB"/>
    <w:rsid w:val="003F03D3"/>
    <w:rsid w:val="003F1851"/>
    <w:rsid w:val="003F35BF"/>
    <w:rsid w:val="003F49FD"/>
    <w:rsid w:val="003F4D33"/>
    <w:rsid w:val="0040240A"/>
    <w:rsid w:val="00404197"/>
    <w:rsid w:val="004065B9"/>
    <w:rsid w:val="00406A78"/>
    <w:rsid w:val="004124ED"/>
    <w:rsid w:val="004315B5"/>
    <w:rsid w:val="004330D2"/>
    <w:rsid w:val="00435F24"/>
    <w:rsid w:val="00445A35"/>
    <w:rsid w:val="004552CF"/>
    <w:rsid w:val="00455991"/>
    <w:rsid w:val="00457290"/>
    <w:rsid w:val="004603BB"/>
    <w:rsid w:val="00464B89"/>
    <w:rsid w:val="00467D65"/>
    <w:rsid w:val="00471832"/>
    <w:rsid w:val="00480E04"/>
    <w:rsid w:val="0048571D"/>
    <w:rsid w:val="004930DE"/>
    <w:rsid w:val="004979E7"/>
    <w:rsid w:val="004A4700"/>
    <w:rsid w:val="004B022E"/>
    <w:rsid w:val="004B4FEB"/>
    <w:rsid w:val="004C70BA"/>
    <w:rsid w:val="004C7FAD"/>
    <w:rsid w:val="004D0F4C"/>
    <w:rsid w:val="004D1A06"/>
    <w:rsid w:val="004D2379"/>
    <w:rsid w:val="004D2425"/>
    <w:rsid w:val="004D4026"/>
    <w:rsid w:val="004D672F"/>
    <w:rsid w:val="004E0C48"/>
    <w:rsid w:val="004E21DE"/>
    <w:rsid w:val="004F1660"/>
    <w:rsid w:val="004F490E"/>
    <w:rsid w:val="004F72D8"/>
    <w:rsid w:val="00503779"/>
    <w:rsid w:val="00507094"/>
    <w:rsid w:val="00512A13"/>
    <w:rsid w:val="005131EF"/>
    <w:rsid w:val="005174CF"/>
    <w:rsid w:val="005206D5"/>
    <w:rsid w:val="00533EC4"/>
    <w:rsid w:val="00540062"/>
    <w:rsid w:val="0054162B"/>
    <w:rsid w:val="0054411E"/>
    <w:rsid w:val="00551FBE"/>
    <w:rsid w:val="00552452"/>
    <w:rsid w:val="00563EF1"/>
    <w:rsid w:val="0056740E"/>
    <w:rsid w:val="00573463"/>
    <w:rsid w:val="00592015"/>
    <w:rsid w:val="005A58A4"/>
    <w:rsid w:val="005C38BB"/>
    <w:rsid w:val="005E0366"/>
    <w:rsid w:val="005E27D2"/>
    <w:rsid w:val="005E421C"/>
    <w:rsid w:val="005E6C20"/>
    <w:rsid w:val="005E78A4"/>
    <w:rsid w:val="005F23BF"/>
    <w:rsid w:val="005F39D1"/>
    <w:rsid w:val="00600674"/>
    <w:rsid w:val="00601A70"/>
    <w:rsid w:val="00605866"/>
    <w:rsid w:val="00606B5A"/>
    <w:rsid w:val="00616AC6"/>
    <w:rsid w:val="00624E64"/>
    <w:rsid w:val="00633EDC"/>
    <w:rsid w:val="00635AA5"/>
    <w:rsid w:val="006416B7"/>
    <w:rsid w:val="00642923"/>
    <w:rsid w:val="0064470B"/>
    <w:rsid w:val="006475AB"/>
    <w:rsid w:val="006524A4"/>
    <w:rsid w:val="00657B27"/>
    <w:rsid w:val="00671BD0"/>
    <w:rsid w:val="00671D33"/>
    <w:rsid w:val="00677157"/>
    <w:rsid w:val="00693804"/>
    <w:rsid w:val="006A0190"/>
    <w:rsid w:val="006A17E9"/>
    <w:rsid w:val="006A1EB8"/>
    <w:rsid w:val="006A2D89"/>
    <w:rsid w:val="006A7814"/>
    <w:rsid w:val="006B317C"/>
    <w:rsid w:val="006B5586"/>
    <w:rsid w:val="006B7B2A"/>
    <w:rsid w:val="006C4AB6"/>
    <w:rsid w:val="006C5A63"/>
    <w:rsid w:val="006D325E"/>
    <w:rsid w:val="006D43A6"/>
    <w:rsid w:val="006D4D9F"/>
    <w:rsid w:val="006E3291"/>
    <w:rsid w:val="006E4DE0"/>
    <w:rsid w:val="00713AA9"/>
    <w:rsid w:val="00716A5A"/>
    <w:rsid w:val="00722F7E"/>
    <w:rsid w:val="00725B92"/>
    <w:rsid w:val="00733EED"/>
    <w:rsid w:val="00742311"/>
    <w:rsid w:val="00750331"/>
    <w:rsid w:val="00751896"/>
    <w:rsid w:val="00752DF1"/>
    <w:rsid w:val="00755E50"/>
    <w:rsid w:val="007647DE"/>
    <w:rsid w:val="00771660"/>
    <w:rsid w:val="00775B06"/>
    <w:rsid w:val="0078412F"/>
    <w:rsid w:val="007941FA"/>
    <w:rsid w:val="00794CA8"/>
    <w:rsid w:val="00794D74"/>
    <w:rsid w:val="007B1784"/>
    <w:rsid w:val="007B31FB"/>
    <w:rsid w:val="007B3918"/>
    <w:rsid w:val="007C06DE"/>
    <w:rsid w:val="007C79F8"/>
    <w:rsid w:val="007E0266"/>
    <w:rsid w:val="007E4863"/>
    <w:rsid w:val="007F10D4"/>
    <w:rsid w:val="007F2E0A"/>
    <w:rsid w:val="00800508"/>
    <w:rsid w:val="00801075"/>
    <w:rsid w:val="00806ECE"/>
    <w:rsid w:val="008142D6"/>
    <w:rsid w:val="008151AB"/>
    <w:rsid w:val="00826843"/>
    <w:rsid w:val="00827A15"/>
    <w:rsid w:val="008334C6"/>
    <w:rsid w:val="008462AB"/>
    <w:rsid w:val="008466D3"/>
    <w:rsid w:val="00851158"/>
    <w:rsid w:val="00860517"/>
    <w:rsid w:val="00866192"/>
    <w:rsid w:val="00871FCC"/>
    <w:rsid w:val="00874835"/>
    <w:rsid w:val="00877BD1"/>
    <w:rsid w:val="00887F6B"/>
    <w:rsid w:val="008977B2"/>
    <w:rsid w:val="008C5B1A"/>
    <w:rsid w:val="008C7BEF"/>
    <w:rsid w:val="008D2F13"/>
    <w:rsid w:val="008D300A"/>
    <w:rsid w:val="008D301C"/>
    <w:rsid w:val="008D3DD0"/>
    <w:rsid w:val="008D4570"/>
    <w:rsid w:val="008D7E28"/>
    <w:rsid w:val="008E5C65"/>
    <w:rsid w:val="008F1198"/>
    <w:rsid w:val="008F690C"/>
    <w:rsid w:val="008F776F"/>
    <w:rsid w:val="008F793A"/>
    <w:rsid w:val="009015D2"/>
    <w:rsid w:val="00906580"/>
    <w:rsid w:val="0090688A"/>
    <w:rsid w:val="00912143"/>
    <w:rsid w:val="00913AD4"/>
    <w:rsid w:val="00916260"/>
    <w:rsid w:val="00916648"/>
    <w:rsid w:val="00916944"/>
    <w:rsid w:val="0092763A"/>
    <w:rsid w:val="00930C94"/>
    <w:rsid w:val="00931B24"/>
    <w:rsid w:val="00941711"/>
    <w:rsid w:val="00945597"/>
    <w:rsid w:val="00953B57"/>
    <w:rsid w:val="00957A8D"/>
    <w:rsid w:val="0096169F"/>
    <w:rsid w:val="009643FD"/>
    <w:rsid w:val="00964B5D"/>
    <w:rsid w:val="009668C7"/>
    <w:rsid w:val="00967F44"/>
    <w:rsid w:val="0097397F"/>
    <w:rsid w:val="00973ECD"/>
    <w:rsid w:val="00991085"/>
    <w:rsid w:val="009914FA"/>
    <w:rsid w:val="009A4734"/>
    <w:rsid w:val="009A5D8F"/>
    <w:rsid w:val="009A68ED"/>
    <w:rsid w:val="009A6C39"/>
    <w:rsid w:val="009B3399"/>
    <w:rsid w:val="009B4E50"/>
    <w:rsid w:val="009B57E9"/>
    <w:rsid w:val="009C31B4"/>
    <w:rsid w:val="009C3942"/>
    <w:rsid w:val="009C5876"/>
    <w:rsid w:val="009C7075"/>
    <w:rsid w:val="009D511A"/>
    <w:rsid w:val="009F054C"/>
    <w:rsid w:val="009F0906"/>
    <w:rsid w:val="009F4690"/>
    <w:rsid w:val="009F57A2"/>
    <w:rsid w:val="009F5A95"/>
    <w:rsid w:val="009F6390"/>
    <w:rsid w:val="00A04BD1"/>
    <w:rsid w:val="00A11B0F"/>
    <w:rsid w:val="00A1406D"/>
    <w:rsid w:val="00A205D6"/>
    <w:rsid w:val="00A23D44"/>
    <w:rsid w:val="00A249FE"/>
    <w:rsid w:val="00A343A3"/>
    <w:rsid w:val="00A350B0"/>
    <w:rsid w:val="00A36C2A"/>
    <w:rsid w:val="00A51C64"/>
    <w:rsid w:val="00A55C72"/>
    <w:rsid w:val="00A61564"/>
    <w:rsid w:val="00A64BAD"/>
    <w:rsid w:val="00A669EB"/>
    <w:rsid w:val="00A75EF4"/>
    <w:rsid w:val="00A769F5"/>
    <w:rsid w:val="00A82978"/>
    <w:rsid w:val="00A82D54"/>
    <w:rsid w:val="00A87FDC"/>
    <w:rsid w:val="00A92121"/>
    <w:rsid w:val="00AA25F0"/>
    <w:rsid w:val="00AA6A31"/>
    <w:rsid w:val="00AB5A00"/>
    <w:rsid w:val="00AC34E6"/>
    <w:rsid w:val="00AD08B1"/>
    <w:rsid w:val="00AD1CED"/>
    <w:rsid w:val="00AD2A8E"/>
    <w:rsid w:val="00AE0558"/>
    <w:rsid w:val="00AE36B1"/>
    <w:rsid w:val="00AE4BC3"/>
    <w:rsid w:val="00AE5375"/>
    <w:rsid w:val="00AE6063"/>
    <w:rsid w:val="00AF2D25"/>
    <w:rsid w:val="00AF4213"/>
    <w:rsid w:val="00AF4270"/>
    <w:rsid w:val="00AF5ACD"/>
    <w:rsid w:val="00B110B7"/>
    <w:rsid w:val="00B11B47"/>
    <w:rsid w:val="00B210CB"/>
    <w:rsid w:val="00B21962"/>
    <w:rsid w:val="00B21C37"/>
    <w:rsid w:val="00B23419"/>
    <w:rsid w:val="00B30418"/>
    <w:rsid w:val="00B3086A"/>
    <w:rsid w:val="00B32968"/>
    <w:rsid w:val="00B3648D"/>
    <w:rsid w:val="00B45D0C"/>
    <w:rsid w:val="00B52AC9"/>
    <w:rsid w:val="00B55B2C"/>
    <w:rsid w:val="00B57A56"/>
    <w:rsid w:val="00B625EC"/>
    <w:rsid w:val="00B6637C"/>
    <w:rsid w:val="00B66765"/>
    <w:rsid w:val="00B74DB7"/>
    <w:rsid w:val="00B85F2A"/>
    <w:rsid w:val="00B90DA4"/>
    <w:rsid w:val="00B91EB6"/>
    <w:rsid w:val="00B92561"/>
    <w:rsid w:val="00B942EF"/>
    <w:rsid w:val="00BA6A23"/>
    <w:rsid w:val="00BB5396"/>
    <w:rsid w:val="00BB566E"/>
    <w:rsid w:val="00BC1958"/>
    <w:rsid w:val="00BC3863"/>
    <w:rsid w:val="00BD019F"/>
    <w:rsid w:val="00BD091E"/>
    <w:rsid w:val="00BD711C"/>
    <w:rsid w:val="00BE3195"/>
    <w:rsid w:val="00BF025D"/>
    <w:rsid w:val="00BF5C56"/>
    <w:rsid w:val="00C007C2"/>
    <w:rsid w:val="00C13DFD"/>
    <w:rsid w:val="00C14185"/>
    <w:rsid w:val="00C14B35"/>
    <w:rsid w:val="00C1617E"/>
    <w:rsid w:val="00C33FB3"/>
    <w:rsid w:val="00C353BD"/>
    <w:rsid w:val="00C406EE"/>
    <w:rsid w:val="00C41C17"/>
    <w:rsid w:val="00C42430"/>
    <w:rsid w:val="00C44581"/>
    <w:rsid w:val="00C5534D"/>
    <w:rsid w:val="00C556AD"/>
    <w:rsid w:val="00C7036A"/>
    <w:rsid w:val="00C70757"/>
    <w:rsid w:val="00C80E28"/>
    <w:rsid w:val="00C82F7B"/>
    <w:rsid w:val="00C84E3C"/>
    <w:rsid w:val="00C86E8E"/>
    <w:rsid w:val="00C93031"/>
    <w:rsid w:val="00C9407B"/>
    <w:rsid w:val="00C956EE"/>
    <w:rsid w:val="00C95B3C"/>
    <w:rsid w:val="00CA0540"/>
    <w:rsid w:val="00CA113A"/>
    <w:rsid w:val="00CB2A73"/>
    <w:rsid w:val="00CB6543"/>
    <w:rsid w:val="00CB7FA1"/>
    <w:rsid w:val="00CD2C6B"/>
    <w:rsid w:val="00CE0F43"/>
    <w:rsid w:val="00CE233E"/>
    <w:rsid w:val="00CE3DB3"/>
    <w:rsid w:val="00CF53C2"/>
    <w:rsid w:val="00D03ECE"/>
    <w:rsid w:val="00D066A8"/>
    <w:rsid w:val="00D10F26"/>
    <w:rsid w:val="00D15460"/>
    <w:rsid w:val="00D16546"/>
    <w:rsid w:val="00D206BB"/>
    <w:rsid w:val="00D33A94"/>
    <w:rsid w:val="00D42A96"/>
    <w:rsid w:val="00D45AFF"/>
    <w:rsid w:val="00D46EE1"/>
    <w:rsid w:val="00D503FD"/>
    <w:rsid w:val="00D526A1"/>
    <w:rsid w:val="00D5293E"/>
    <w:rsid w:val="00D60948"/>
    <w:rsid w:val="00D67121"/>
    <w:rsid w:val="00D73141"/>
    <w:rsid w:val="00D7401D"/>
    <w:rsid w:val="00D81956"/>
    <w:rsid w:val="00D903FD"/>
    <w:rsid w:val="00D92A0A"/>
    <w:rsid w:val="00D940DB"/>
    <w:rsid w:val="00D979DA"/>
    <w:rsid w:val="00DB1115"/>
    <w:rsid w:val="00DB6A90"/>
    <w:rsid w:val="00DC5B6E"/>
    <w:rsid w:val="00DD5A3E"/>
    <w:rsid w:val="00DE6AB8"/>
    <w:rsid w:val="00DF023D"/>
    <w:rsid w:val="00DF2A34"/>
    <w:rsid w:val="00E05789"/>
    <w:rsid w:val="00E06F34"/>
    <w:rsid w:val="00E2257A"/>
    <w:rsid w:val="00E276F5"/>
    <w:rsid w:val="00E32D17"/>
    <w:rsid w:val="00E422D0"/>
    <w:rsid w:val="00E51F9B"/>
    <w:rsid w:val="00E6592D"/>
    <w:rsid w:val="00E6701C"/>
    <w:rsid w:val="00E670D1"/>
    <w:rsid w:val="00E673FE"/>
    <w:rsid w:val="00E6766E"/>
    <w:rsid w:val="00E7317F"/>
    <w:rsid w:val="00E73C46"/>
    <w:rsid w:val="00E742D1"/>
    <w:rsid w:val="00E74E6E"/>
    <w:rsid w:val="00E772F9"/>
    <w:rsid w:val="00E82BFE"/>
    <w:rsid w:val="00EA6D3A"/>
    <w:rsid w:val="00EB67B0"/>
    <w:rsid w:val="00EC0D12"/>
    <w:rsid w:val="00EC56B0"/>
    <w:rsid w:val="00EE619B"/>
    <w:rsid w:val="00EE73B6"/>
    <w:rsid w:val="00EF4CBE"/>
    <w:rsid w:val="00EF57E1"/>
    <w:rsid w:val="00F005DB"/>
    <w:rsid w:val="00F112D4"/>
    <w:rsid w:val="00F11384"/>
    <w:rsid w:val="00F15F22"/>
    <w:rsid w:val="00F21EE2"/>
    <w:rsid w:val="00F2626A"/>
    <w:rsid w:val="00F33228"/>
    <w:rsid w:val="00F33562"/>
    <w:rsid w:val="00F4108B"/>
    <w:rsid w:val="00F46013"/>
    <w:rsid w:val="00F61071"/>
    <w:rsid w:val="00F616A4"/>
    <w:rsid w:val="00F676EE"/>
    <w:rsid w:val="00F77617"/>
    <w:rsid w:val="00F839FA"/>
    <w:rsid w:val="00F847AC"/>
    <w:rsid w:val="00F939F7"/>
    <w:rsid w:val="00FA18F6"/>
    <w:rsid w:val="00FA1C26"/>
    <w:rsid w:val="00FB1A47"/>
    <w:rsid w:val="00FC0C4B"/>
    <w:rsid w:val="00FD0B17"/>
    <w:rsid w:val="00FE2B5A"/>
    <w:rsid w:val="00FF2468"/>
  </w:rsids>
  <m:mathPr>
    <m:mathFont m:val="Cambria Math"/>
    <m:brkBin m:val="before"/>
    <m:brkBinSub m:val="--"/>
    <m:smallFrac m:val="0"/>
    <m:dispDef/>
    <m:lMargin m:val="0"/>
    <m:rMargin m:val="0"/>
    <m:defJc m:val="centerGroup"/>
    <m:wrapIndent m:val="1440"/>
    <m:intLim m:val="subSup"/>
    <m:naryLim m:val="undOvr"/>
  </m:mathPr>
  <w:themeFontLang w:val="fr-BE" w:bidi="yi-He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0C77344"/>
  <w15:docId w15:val="{9A090E54-8BEB-412E-8673-421C95545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nl-NL"/>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Standaard">
    <w:name w:val="Normal"/>
    <w:qFormat/>
    <w:rsid w:val="008151AB"/>
    <w:pPr>
      <w:overflowPunct w:val="0"/>
      <w:autoSpaceDE w:val="0"/>
      <w:autoSpaceDN w:val="0"/>
      <w:adjustRightInd w:val="0"/>
      <w:spacing w:line="288" w:lineRule="auto"/>
      <w:jc w:val="both"/>
      <w:textAlignment w:val="baseline"/>
    </w:pPr>
    <w:rPr>
      <w:sz w:val="22"/>
    </w:rPr>
  </w:style>
  <w:style w:type="paragraph" w:styleId="Kop1">
    <w:name w:val="heading 1"/>
    <w:basedOn w:val="Standaard"/>
    <w:next w:val="Standaard"/>
    <w:link w:val="Kop1Char"/>
    <w:qFormat/>
    <w:rsid w:val="008151AB"/>
    <w:pPr>
      <w:numPr>
        <w:numId w:val="1"/>
      </w:numPr>
      <w:ind w:left="720" w:hanging="720"/>
      <w:outlineLvl w:val="0"/>
    </w:pPr>
    <w:rPr>
      <w:kern w:val="28"/>
    </w:rPr>
  </w:style>
  <w:style w:type="paragraph" w:styleId="Kop2">
    <w:name w:val="heading 2"/>
    <w:basedOn w:val="Standaard"/>
    <w:next w:val="Standaard"/>
    <w:link w:val="Kop2Char"/>
    <w:qFormat/>
    <w:rsid w:val="008151AB"/>
    <w:pPr>
      <w:numPr>
        <w:ilvl w:val="1"/>
        <w:numId w:val="1"/>
      </w:numPr>
      <w:ind w:left="720" w:hanging="720"/>
      <w:outlineLvl w:val="1"/>
    </w:pPr>
  </w:style>
  <w:style w:type="paragraph" w:styleId="Kop3">
    <w:name w:val="heading 3"/>
    <w:basedOn w:val="Standaard"/>
    <w:next w:val="Standaard"/>
    <w:link w:val="Kop3Char"/>
    <w:qFormat/>
    <w:rsid w:val="008151AB"/>
    <w:pPr>
      <w:numPr>
        <w:ilvl w:val="2"/>
        <w:numId w:val="1"/>
      </w:numPr>
      <w:ind w:left="720" w:hanging="720"/>
      <w:outlineLvl w:val="2"/>
    </w:pPr>
  </w:style>
  <w:style w:type="paragraph" w:styleId="Kop4">
    <w:name w:val="heading 4"/>
    <w:basedOn w:val="Standaard"/>
    <w:next w:val="Standaard"/>
    <w:link w:val="Kop4Char"/>
    <w:qFormat/>
    <w:rsid w:val="008151AB"/>
    <w:pPr>
      <w:numPr>
        <w:ilvl w:val="3"/>
        <w:numId w:val="1"/>
      </w:numPr>
      <w:ind w:left="720" w:hanging="720"/>
      <w:outlineLvl w:val="3"/>
    </w:pPr>
  </w:style>
  <w:style w:type="paragraph" w:styleId="Kop5">
    <w:name w:val="heading 5"/>
    <w:basedOn w:val="Standaard"/>
    <w:next w:val="Standaard"/>
    <w:link w:val="Kop5Char"/>
    <w:qFormat/>
    <w:rsid w:val="008151AB"/>
    <w:pPr>
      <w:numPr>
        <w:ilvl w:val="4"/>
        <w:numId w:val="1"/>
      </w:numPr>
      <w:ind w:left="720" w:hanging="720"/>
      <w:outlineLvl w:val="4"/>
    </w:pPr>
  </w:style>
  <w:style w:type="paragraph" w:styleId="Kop6">
    <w:name w:val="heading 6"/>
    <w:basedOn w:val="Standaard"/>
    <w:next w:val="Standaard"/>
    <w:link w:val="Kop6Char"/>
    <w:qFormat/>
    <w:rsid w:val="008151AB"/>
    <w:pPr>
      <w:numPr>
        <w:ilvl w:val="5"/>
        <w:numId w:val="1"/>
      </w:numPr>
      <w:ind w:left="720" w:hanging="720"/>
      <w:outlineLvl w:val="5"/>
    </w:pPr>
  </w:style>
  <w:style w:type="paragraph" w:styleId="Kop7">
    <w:name w:val="heading 7"/>
    <w:basedOn w:val="Standaard"/>
    <w:next w:val="Standaard"/>
    <w:link w:val="Kop7Char"/>
    <w:qFormat/>
    <w:rsid w:val="008151AB"/>
    <w:pPr>
      <w:numPr>
        <w:ilvl w:val="6"/>
        <w:numId w:val="1"/>
      </w:numPr>
      <w:ind w:left="720" w:hanging="720"/>
      <w:outlineLvl w:val="6"/>
    </w:pPr>
  </w:style>
  <w:style w:type="paragraph" w:styleId="Kop8">
    <w:name w:val="heading 8"/>
    <w:basedOn w:val="Standaard"/>
    <w:next w:val="Standaard"/>
    <w:link w:val="Kop8Char"/>
    <w:qFormat/>
    <w:rsid w:val="008151AB"/>
    <w:pPr>
      <w:numPr>
        <w:ilvl w:val="7"/>
        <w:numId w:val="1"/>
      </w:numPr>
      <w:ind w:left="720" w:hanging="720"/>
      <w:outlineLvl w:val="7"/>
    </w:pPr>
  </w:style>
  <w:style w:type="paragraph" w:styleId="Kop9">
    <w:name w:val="heading 9"/>
    <w:basedOn w:val="Standaard"/>
    <w:next w:val="Standaard"/>
    <w:link w:val="Kop9Char"/>
    <w:qFormat/>
    <w:rsid w:val="008151AB"/>
    <w:pPr>
      <w:numPr>
        <w:ilvl w:val="8"/>
        <w:numId w:val="1"/>
      </w:numPr>
      <w:ind w:left="720" w:hanging="720"/>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DB7B87"/>
    <w:rPr>
      <w:kern w:val="28"/>
      <w:sz w:val="22"/>
      <w:lang w:eastAsia="nl-NL" w:bidi="nl-NL"/>
    </w:rPr>
  </w:style>
  <w:style w:type="character" w:customStyle="1" w:styleId="Kop2Char">
    <w:name w:val="Kop 2 Char"/>
    <w:basedOn w:val="Standaardalinea-lettertype"/>
    <w:link w:val="Kop2"/>
    <w:rsid w:val="00DB7B87"/>
    <w:rPr>
      <w:sz w:val="22"/>
      <w:lang w:eastAsia="nl-NL" w:bidi="nl-NL"/>
    </w:rPr>
  </w:style>
  <w:style w:type="character" w:customStyle="1" w:styleId="Kop3Char">
    <w:name w:val="Kop 3 Char"/>
    <w:basedOn w:val="Standaardalinea-lettertype"/>
    <w:link w:val="Kop3"/>
    <w:rsid w:val="00DB7B87"/>
    <w:rPr>
      <w:sz w:val="22"/>
      <w:lang w:eastAsia="nl-NL" w:bidi="nl-NL"/>
    </w:rPr>
  </w:style>
  <w:style w:type="character" w:customStyle="1" w:styleId="Kop4Char">
    <w:name w:val="Kop 4 Char"/>
    <w:basedOn w:val="Standaardalinea-lettertype"/>
    <w:link w:val="Kop4"/>
    <w:rsid w:val="00DB7B87"/>
    <w:rPr>
      <w:sz w:val="22"/>
      <w:lang w:eastAsia="nl-NL" w:bidi="nl-NL"/>
    </w:rPr>
  </w:style>
  <w:style w:type="character" w:customStyle="1" w:styleId="Kop5Char">
    <w:name w:val="Kop 5 Char"/>
    <w:basedOn w:val="Standaardalinea-lettertype"/>
    <w:link w:val="Kop5"/>
    <w:rsid w:val="00DB7B87"/>
    <w:rPr>
      <w:sz w:val="22"/>
      <w:lang w:eastAsia="nl-NL" w:bidi="nl-NL"/>
    </w:rPr>
  </w:style>
  <w:style w:type="character" w:customStyle="1" w:styleId="Kop6Char">
    <w:name w:val="Kop 6 Char"/>
    <w:basedOn w:val="Standaardalinea-lettertype"/>
    <w:link w:val="Kop6"/>
    <w:rsid w:val="00DB7B87"/>
    <w:rPr>
      <w:sz w:val="22"/>
      <w:lang w:eastAsia="nl-NL" w:bidi="nl-NL"/>
    </w:rPr>
  </w:style>
  <w:style w:type="character" w:customStyle="1" w:styleId="Kop7Char">
    <w:name w:val="Kop 7 Char"/>
    <w:basedOn w:val="Standaardalinea-lettertype"/>
    <w:link w:val="Kop7"/>
    <w:rsid w:val="00DB7B87"/>
    <w:rPr>
      <w:sz w:val="22"/>
      <w:lang w:eastAsia="nl-NL" w:bidi="nl-NL"/>
    </w:rPr>
  </w:style>
  <w:style w:type="character" w:customStyle="1" w:styleId="Kop8Char">
    <w:name w:val="Kop 8 Char"/>
    <w:basedOn w:val="Standaardalinea-lettertype"/>
    <w:link w:val="Kop8"/>
    <w:rsid w:val="00DB7B87"/>
    <w:rPr>
      <w:sz w:val="22"/>
      <w:lang w:eastAsia="nl-NL" w:bidi="nl-NL"/>
    </w:rPr>
  </w:style>
  <w:style w:type="character" w:customStyle="1" w:styleId="Kop9Char">
    <w:name w:val="Kop 9 Char"/>
    <w:basedOn w:val="Standaardalinea-lettertype"/>
    <w:link w:val="Kop9"/>
    <w:rsid w:val="00DB7B87"/>
    <w:rPr>
      <w:sz w:val="22"/>
      <w:lang w:eastAsia="nl-NL" w:bidi="nl-NL"/>
    </w:rPr>
  </w:style>
  <w:style w:type="paragraph" w:styleId="Voettekst">
    <w:name w:val="footer"/>
    <w:basedOn w:val="Standaard"/>
    <w:link w:val="VoettekstChar"/>
    <w:rsid w:val="008151AB"/>
  </w:style>
  <w:style w:type="character" w:customStyle="1" w:styleId="VoettekstChar">
    <w:name w:val="Voettekst Char"/>
    <w:basedOn w:val="Standaardalinea-lettertype"/>
    <w:link w:val="Voettekst"/>
    <w:rsid w:val="00DB7B87"/>
    <w:rPr>
      <w:sz w:val="22"/>
      <w:lang w:eastAsia="nl-NL" w:bidi="nl-NL"/>
    </w:rPr>
  </w:style>
  <w:style w:type="paragraph" w:styleId="Voetnoottekst">
    <w:name w:val="footnote text"/>
    <w:basedOn w:val="Standaard"/>
    <w:link w:val="VoetnoottekstChar"/>
    <w:rsid w:val="008151AB"/>
    <w:pPr>
      <w:keepLines/>
      <w:spacing w:after="60" w:line="240" w:lineRule="auto"/>
      <w:ind w:left="720" w:hanging="720"/>
    </w:pPr>
    <w:rPr>
      <w:sz w:val="16"/>
    </w:rPr>
  </w:style>
  <w:style w:type="character" w:customStyle="1" w:styleId="VoetnoottekstChar">
    <w:name w:val="Voetnoottekst Char"/>
    <w:basedOn w:val="Standaardalinea-lettertype"/>
    <w:link w:val="Voetnoottekst"/>
    <w:rsid w:val="00DB7B87"/>
    <w:rPr>
      <w:sz w:val="16"/>
      <w:lang w:eastAsia="nl-NL" w:bidi="nl-NL"/>
    </w:rPr>
  </w:style>
  <w:style w:type="paragraph" w:styleId="Koptekst">
    <w:name w:val="header"/>
    <w:basedOn w:val="Standaard"/>
    <w:link w:val="KoptekstChar"/>
    <w:rsid w:val="008151AB"/>
  </w:style>
  <w:style w:type="character" w:customStyle="1" w:styleId="KoptekstChar">
    <w:name w:val="Koptekst Char"/>
    <w:basedOn w:val="Standaardalinea-lettertype"/>
    <w:link w:val="Koptekst"/>
    <w:rsid w:val="00DB7B87"/>
    <w:rPr>
      <w:sz w:val="22"/>
      <w:lang w:eastAsia="nl-NL" w:bidi="nl-NL"/>
    </w:rPr>
  </w:style>
  <w:style w:type="character" w:styleId="Hyperlink">
    <w:name w:val="Hyperlink"/>
    <w:basedOn w:val="Standaardalinea-lettertype"/>
    <w:uiPriority w:val="99"/>
    <w:rPr>
      <w:color w:val="0000FF"/>
      <w:u w:val="single"/>
    </w:rPr>
  </w:style>
  <w:style w:type="character" w:styleId="Voetnootmarkering">
    <w:name w:val="footnote reference"/>
    <w:basedOn w:val="Standaardalinea-lettertype"/>
    <w:rsid w:val="008151AB"/>
    <w:rPr>
      <w:sz w:val="24"/>
      <w:vertAlign w:val="superscript"/>
    </w:rPr>
  </w:style>
  <w:style w:type="character" w:styleId="GevolgdeHyperlink">
    <w:name w:val="FollowedHyperlink"/>
    <w:basedOn w:val="Standaardalinea-lettertype"/>
    <w:uiPriority w:val="99"/>
    <w:rPr>
      <w:color w:val="800080"/>
      <w:u w:val="single"/>
    </w:rPr>
  </w:style>
  <w:style w:type="paragraph" w:customStyle="1" w:styleId="LOGO">
    <w:name w:val="LOGO"/>
    <w:basedOn w:val="Standaard"/>
    <w:pPr>
      <w:jc w:val="center"/>
    </w:pPr>
    <w:rPr>
      <w:rFonts w:ascii="Arial" w:hAnsi="Arial" w:cs="Arial"/>
      <w:b/>
      <w:bCs/>
      <w:i/>
      <w:iCs/>
      <w:sz w:val="20"/>
    </w:rPr>
  </w:style>
  <w:style w:type="paragraph" w:styleId="Revisie">
    <w:name w:val="Revision"/>
    <w:hidden/>
    <w:uiPriority w:val="99"/>
    <w:semiHidden/>
    <w:rsid w:val="0001457F"/>
    <w:rPr>
      <w:sz w:val="22"/>
      <w:szCs w:val="22"/>
    </w:rPr>
  </w:style>
  <w:style w:type="paragraph" w:styleId="Ballontekst">
    <w:name w:val="Balloon Text"/>
    <w:basedOn w:val="Standaard"/>
    <w:link w:val="BallontekstChar"/>
    <w:semiHidden/>
    <w:unhideWhenUsed/>
    <w:rsid w:val="003C3D3E"/>
    <w:pPr>
      <w:spacing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3C3D3E"/>
    <w:rPr>
      <w:rFonts w:ascii="Tahoma" w:hAnsi="Tahoma" w:cs="Tahoma"/>
      <w:sz w:val="16"/>
      <w:szCs w:val="16"/>
      <w:lang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emportal.cor.europa.eu/" TargetMode="Externa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eur-lex.europa.eu/legal-content/NL/TXT/?uri=uriserv:OJ.C_.2015.268.01.0033.01.NLD&amp;toc=OJ:C:2015:423:TOC" TargetMode="External"/><Relationship Id="rId7" Type="http://schemas.openxmlformats.org/officeDocument/2006/relationships/hyperlink" Target="http://eur-lex.europa.eu/legal-content/NL/TXT/?uri=uriserv:OJ.C_.2015.268.01.0033.01.NLD&amp;toc=OJ:C:2015:019:TOC" TargetMode="External"/><Relationship Id="rId2" Type="http://schemas.openxmlformats.org/officeDocument/2006/relationships/hyperlink" Target="http://eur-lex.europa.eu/legal-content/NL/TXT/?uri=uriserv:OJ.C_.2016.177.01.0041.01.NLD&amp;toc=OJ:C:2016:120:TOC" TargetMode="External"/><Relationship Id="rId1" Type="http://schemas.openxmlformats.org/officeDocument/2006/relationships/hyperlink" Target="http://cor.europa.eu/en/documentation/studies/Documents/eu-added-value-test-to-justify-eu-spending.pdf." TargetMode="External"/><Relationship Id="rId6" Type="http://schemas.openxmlformats.org/officeDocument/2006/relationships/hyperlink" Target="http://eur-lex.europa.eu/legal-content/NL/TXT/?uri=uriserv:OJ.C_.2015.268.01.0033.01.NLD&amp;toc=OJ:C:2015:140:TOC" TargetMode="External"/><Relationship Id="rId5" Type="http://schemas.openxmlformats.org/officeDocument/2006/relationships/hyperlink" Target="http://eur-lex.europa.eu/legal-content/NL/TXT/?uri=uriserv:OJ.C_.2015.268.01.0033.01.NLD&amp;toc=OJ:C:2015:313:TOC" TargetMode="External"/><Relationship Id="rId4" Type="http://schemas.openxmlformats.org/officeDocument/2006/relationships/hyperlink" Target="http://eur-lex.europa.eu/legal-content/NL/TXT/?uri=uriserv:OJ.C_.2015.268.01.0033.01.NLD&amp;toc=OJ:C:2015:195: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M Document" ma:contentTypeID="0x010100EA97B91038054C99906057A708A1480A0020D0B0D07EE053498746FBD671D227E6" ma:contentTypeVersion="4" ma:contentTypeDescription="Defines the documents for Document Manager V2" ma:contentTypeScope="" ma:versionID="3e48684af8d216a24583b39d42100164">
  <xsd:schema xmlns:xsd="http://www.w3.org/2001/XMLSchema" xmlns:xs="http://www.w3.org/2001/XMLSchema" xmlns:p="http://schemas.microsoft.com/office/2006/metadata/properties" xmlns:ns2="57ac29de-03e1-4faa-aad6-90f7f21c01ea" xmlns:ns3="http://schemas.microsoft.com/sharepoint/v3/fields" xmlns:ns4="78bbc507-0a1c-4aa0-ab61-be5a11f645cb" targetNamespace="http://schemas.microsoft.com/office/2006/metadata/properties" ma:root="true" ma:fieldsID="574e24ed95d53a480ceca20e19935bc1" ns2:_="" ns3:_="" ns4:_="">
    <xsd:import namespace="57ac29de-03e1-4faa-aad6-90f7f21c01ea"/>
    <xsd:import namespace="http://schemas.microsoft.com/sharepoint/v3/fields"/>
    <xsd:import namespace="78bbc507-0a1c-4aa0-ab61-be5a11f645cb"/>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3:DocumentLanguage_0" minOccurs="0"/>
                <xsd:element ref="ns2:Rapporteur" minOccurs="0"/>
                <xsd:element ref="ns2:RequestingService" minOccurs="0"/>
                <xsd:element ref="ns4:DocumentNumber" minOccurs="0"/>
                <xsd:element ref="ns2:AdoptionDate" minOccurs="0"/>
                <xsd:element ref="ns2:DossierNumber" minOccurs="0"/>
                <xsd:element ref="ns3:Confidentiality_0" minOccurs="0"/>
                <xsd:element ref="ns2:TaxCatchAll" minOccurs="0"/>
                <xsd:element ref="ns2:TaxCatchAllLabel" minOccurs="0"/>
                <xsd:element ref="ns2:FicheNumber" minOccurs="0"/>
                <xsd:element ref="ns2:Procedure" minOccurs="0"/>
                <xsd:element ref="ns2:DocumentPart" minOccurs="0"/>
                <xsd:element ref="ns3:DossierName_0" minOccurs="0"/>
                <xsd:element ref="ns3:DocumentType_0" minOccurs="0"/>
                <xsd:element ref="ns3:DocumentStatus_0" minOccurs="0"/>
                <xsd:element ref="ns3:AvailableTranslations_0" minOccurs="0"/>
                <xsd:element ref="ns2:FicheYear" minOccurs="0"/>
                <xsd:element ref="ns3:MeetingName_0" minOccurs="0"/>
                <xsd:element ref="ns3:DocumentSource_0" minOccurs="0"/>
                <xsd:element ref="ns3:OriginalLanguage_0" minOccurs="0"/>
                <xsd:element ref="ns2:DocumentYear"/>
                <xsd:element ref="ns3:VersionStatus_0" minOccurs="0"/>
                <xsd:element ref="ns2:MeetingDate" minOccurs="0"/>
                <xsd:element ref="ns4:MeetingNumber"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ac29de-03e1-4faa-aad6-90f7f21c01e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Rapporteur" ma:index="14" nillable="true" ma:displayName="Rapporteur" ma:internalName="Rapporteur" ma:readOnly="false">
      <xsd:simpleType>
        <xsd:restriction base="dms:Text"/>
      </xsd:simpleType>
    </xsd:element>
    <xsd:element name="RequestingService" ma:index="15" nillable="true" ma:displayName="Requesting Service" ma:internalName="RequestingService" ma:readOnly="false">
      <xsd:simpleType>
        <xsd:restriction base="dms:Text"/>
      </xsd:simpleType>
    </xsd:element>
    <xsd:element name="AdoptionDate" ma:index="17" nillable="true" ma:displayName="Adoption Date" ma:format="DateOnly" ma:internalName="AdoptionDate" ma:readOnly="false">
      <xsd:simpleType>
        <xsd:restriction base="dms:DateTime"/>
      </xsd:simpleType>
    </xsd:element>
    <xsd:element name="DossierNumber" ma:index="18" nillable="true" ma:displayName="Dossier Number" ma:decimals="0" ma:internalName="DossierNumber" ma:readOnly="false">
      <xsd:simpleType>
        <xsd:restriction base="dms:Unknown"/>
      </xsd:simpleType>
    </xsd:element>
    <xsd:element name="TaxCatchAll" ma:index="20" nillable="true" ma:displayName="Taxonomy Catch All Column" ma:hidden="true" ma:list="{e09325fe-f20c-49bb-9d8c-490f31d50c44}" ma:internalName="TaxCatchAll" ma:showField="CatchAllData" ma:web="57ac29de-03e1-4faa-aad6-90f7f21c01ea">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09325fe-f20c-49bb-9d8c-490f31d50c44}" ma:internalName="TaxCatchAllLabel" ma:readOnly="true" ma:showField="CatchAllDataLabel" ma:web="57ac29de-03e1-4faa-aad6-90f7f21c01ea">
      <xsd:complexType>
        <xsd:complexContent>
          <xsd:extension base="dms:MultiChoiceLookup">
            <xsd:sequence>
              <xsd:element name="Value" type="dms:Lookup" maxOccurs="unbounded" minOccurs="0" nillable="true"/>
            </xsd:sequence>
          </xsd:extension>
        </xsd:complexContent>
      </xsd:complexType>
    </xsd:element>
    <xsd:element name="FicheNumber" ma:index="23" nillable="true" ma:displayName="Fiche Number" ma:decimals="0" ma:internalName="FicheNumber" ma:readOnly="false">
      <xsd:simpleType>
        <xsd:restriction base="dms:Unknown"/>
      </xsd:simpleType>
    </xsd:element>
    <xsd:element name="Procedure" ma:index="24" nillable="true" ma:displayName="Procedure" ma:internalName="Procedure" ma:readOnly="false">
      <xsd:simpleType>
        <xsd:restriction base="dms:Text"/>
      </xsd:simpleType>
    </xsd:element>
    <xsd:element name="DocumentPart" ma:index="25" nillable="true" ma:displayName="Document Part" ma:decimals="0" ma:internalName="DocumentPart" ma:readOnly="false">
      <xsd:simpleType>
        <xsd:restriction base="dms:Unknown"/>
      </xsd:simpleType>
    </xsd:element>
    <xsd:element name="FicheYear" ma:index="34" nillable="true" ma:displayName="Fiche Year" ma:decimals="0" ma:internalName="FicheYear" ma:readOnly="false">
      <xsd:simpleType>
        <xsd:restriction base="dms:Unknown"/>
      </xsd:simpleType>
    </xsd:element>
    <xsd:element name="DocumentYear" ma:index="41" ma:displayName="Document Year" ma:decimals="0" ma:internalName="DocumentYear" ma:readOnly="false">
      <xsd:simpleType>
        <xsd:restriction base="dms:Unknown"/>
      </xsd:simpleType>
    </xsd:element>
    <xsd:element name="MeetingDate" ma:index="44" nillable="true" ma:displayName="Meeting Date" ma:format="DateOnly" ma:internalName="MeetingDate" ma:readOnly="false">
      <xsd:simpleType>
        <xsd:restriction base="dms:DateTime"/>
      </xsd:simpleType>
    </xsd:element>
    <xsd:element name="DocumentVersion" ma:index="46" nillable="true" ma:displayName="Document Version" ma:decimals="0" ma:internalName="DocumentVersion"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3" nillable="true" ma:taxonomy="true" ma:internalName="DocumentLanguage_0" ma:taxonomyFieldName="DocumentLanguage" ma:displayName="Document Language" ma:fieldId="{ee5c55ab-e8dd-441f-8840-fdce66906fe3}"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readOnly="false" ma:fieldId="{ee5c4bfe-2b62-4831-9131-22edf8f3665c}" ma:sspId="5eb6ff32-25da-4603-a073-4ef4c01e5f0e" ma:termSetId="11d040ac-3a9a-4d4c-b9cf-922342a701d6" ma:anchorId="00000000-0000-0000-0000-000000000000" ma:open="false" ma:isKeyword="false">
      <xsd:complexType>
        <xsd:sequence>
          <xsd:element ref="pc:Terms" minOccurs="0" maxOccurs="1"/>
        </xsd:sequence>
      </xsd:complexType>
    </xsd:element>
    <xsd:element name="DossierName_0" ma:index="26" nillable="true" ma:taxonomy="true" ma:internalName="DossierName_0" ma:taxonomyFieldName="DossierName" ma:displayName="Dossier Name" ma:readOnly="false" ma:fieldId="{ee5cf7da-503b-4593-8db2-4f0e09c901fd}" ma:sspId="5eb6ff32-25da-4603-a073-4ef4c01e5f0e" ma:termSetId="2b392f04-1222-4352-87c1-6fd60ec33b64" ma:anchorId="00000000-0000-0000-0000-000000000000" ma:open="false" ma:isKeyword="false">
      <xsd:complexType>
        <xsd:sequence>
          <xsd:element ref="pc:Terms" minOccurs="0" maxOccurs="1"/>
        </xsd:sequence>
      </xsd:complexType>
    </xsd:element>
    <xsd:element name="DocumentType_0" ma:index="28" nillable="true" ma:taxonomy="true" ma:internalName="DocumentType_0" ma:taxonomyFieldName="DocumentType" ma:displayName="Document Type" ma:indexed="true" ma:readOnly="false" ma:fieldId="{ee5cf431-2d10-41e6-bd88-1b6bd5b84f5f}" ma:sspId="5eb6ff32-25da-4603-a073-4ef4c01e5f0e" ma:termSetId="67a76952-94e0-437b-9a60-5085083dde02" ma:anchorId="00000000-0000-0000-0000-000000000000" ma:open="false" ma:isKeyword="false">
      <xsd:complexType>
        <xsd:sequence>
          <xsd:element ref="pc:Terms" minOccurs="0" maxOccurs="1"/>
        </xsd:sequence>
      </xsd:complexType>
    </xsd:element>
    <xsd:element name="DocumentStatus_0" ma:index="30" nillable="true" ma:taxonomy="true" ma:internalName="DocumentStatus_0" ma:taxonomyFieldName="DocumentStatus" ma:displayName="Document Status" ma:readOnly="false" ma:fieldId="{ee5cab93-ac4d-4e2f-b298-e5342324388c}" ma:sspId="5eb6ff32-25da-4603-a073-4ef4c01e5f0e" ma:termSetId="54b85ca4-9023-4cbf-8e96-81af7735228f" ma:anchorId="00000000-0000-0000-0000-000000000000" ma:open="false" ma:isKeyword="false">
      <xsd:complexType>
        <xsd:sequence>
          <xsd:element ref="pc:Terms" minOccurs="0" maxOccurs="1"/>
        </xsd:sequence>
      </xsd:complexType>
    </xsd:element>
    <xsd:element name="AvailableTranslations_0" ma:index="32" nillable="true" ma:taxonomy="true" ma:internalName="AvailableTranslations_0" ma:taxonomyFieldName="AvailableTranslations" ma:displayName="Available Translations" ma:readOnly="false" ma:fieldId="{ee5c7c01-1a65-4138-aa64-80e01e34d799}" ma:taxonomyMulti="true"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MeetingName_0" ma:index="35" nillable="true" ma:taxonomy="true" ma:internalName="MeetingName_0" ma:taxonomyFieldName="MeetingName" ma:displayName="Meeting Name" ma:indexed="true" ma:readOnly="false" ma:fieldId="{ee5c9b55-8403-4f9e-a156-b6ce5b7b9456}" ma:sspId="5eb6ff32-25da-4603-a073-4ef4c01e5f0e" ma:termSetId="a04e9634-de73-4a41-8cb5-e1efdb89060c" ma:anchorId="00000000-0000-0000-0000-000000000000" ma:open="false" ma:isKeyword="false">
      <xsd:complexType>
        <xsd:sequence>
          <xsd:element ref="pc:Terms" minOccurs="0" maxOccurs="1"/>
        </xsd:sequence>
      </xsd:complexType>
    </xsd:element>
    <xsd:element name="DocumentSource_0" ma:index="37" ma:taxonomy="true" ma:internalName="DocumentSource_0" ma:taxonomyFieldName="DocumentSource" ma:displayName="Document Source" ma:readOnly="false" ma:fieldId="{ee5c1c29-f257-4aae-8e5e-529c0040e17a}" ma:sspId="5eb6ff32-25da-4603-a073-4ef4c01e5f0e" ma:termSetId="ca143256-a90d-4d26-b249-02646b17c0c5" ma:anchorId="00000000-0000-0000-0000-000000000000" ma:open="false" ma:isKeyword="false">
      <xsd:complexType>
        <xsd:sequence>
          <xsd:element ref="pc:Terms" minOccurs="0" maxOccurs="1"/>
        </xsd:sequence>
      </xsd:complexType>
    </xsd:element>
    <xsd:element name="OriginalLanguage_0" ma:index="39" nillable="true" ma:taxonomy="true" ma:internalName="OriginalLanguage_0" ma:taxonomyFieldName="OriginalLanguage" ma:displayName="Original Language" ma:readOnly="false" ma:fieldId="{ee5ce750-ff6c-4875-8192-ef11fb51efba}" ma:taxonomyMulti="true"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VersionStatus_0" ma:index="42" ma:taxonomy="true" ma:internalName="VersionStatus_0" ma:taxonomyFieldName="VersionStatus" ma:displayName="Version Status" ma:indexed="true" ma:readOnly="false" ma:fieldId="{ee5cb94b-3df1-4df3-b49b-6e47ce2a7e87}" ma:sspId="5eb6ff32-25da-4603-a073-4ef4c01e5f0e" ma:termSetId="adeca67b-2bdd-4d0f-b3af-a690b4c6d9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8bbc507-0a1c-4aa0-ab61-be5a11f645cb" elementFormDefault="qualified">
    <xsd:import namespace="http://schemas.microsoft.com/office/2006/documentManagement/types"/>
    <xsd:import namespace="http://schemas.microsoft.com/office/infopath/2007/PartnerControls"/>
    <xsd:element name="DocumentNumber" ma:index="16" nillable="true" ma:displayName="Document Number" ma:decimals="0" ma:indexed="true" ma:internalName="DocumentNumber" ma:readOnly="false">
      <xsd:simpleType>
        <xsd:restriction base="dms:Unknown"/>
      </xsd:simpleType>
    </xsd:element>
    <xsd:element name="MeetingNumber" ma:index="45" nillable="true" ma:displayName="Meeting Number" ma:decimals="0" ma:indexed="true" ma:internalName="MeetingNumber"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57ac29de-03e1-4faa-aad6-90f7f21c01ea">CYVHNYQC35UN-4-6357</_dlc_DocId>
    <_dlc_DocIdUrl xmlns="57ac29de-03e1-4faa-aad6-90f7f21c01ea">
      <Url>http://dm/CoR/2016/_layouts/DocIdRedir.aspx?ID=CYVHNYQC35UN-4-6357</Url>
      <Description>CYVHNYQC35UN-4-6357</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PAC</TermName>
          <TermId xmlns="http://schemas.microsoft.com/office/infopath/2007/PartnerControls">719e5324-e7b4-48f6-9bbb-a2f1f3496a94</TermId>
        </TermInfo>
      </Terms>
    </DocumentType_0>
    <Procedure xmlns="57ac29de-03e1-4faa-aad6-90f7f21c01ea" xsi:nil="true"/>
    <DossierName_0 xmlns="http://schemas.microsoft.com/sharepoint/v3/fields">
      <Terms xmlns="http://schemas.microsoft.com/office/infopath/2007/PartnerControls">
        <TermInfo xmlns="http://schemas.microsoft.com/office/infopath/2007/PartnerControls">
          <TermName xmlns="http://schemas.microsoft.com/office/infopath/2007/PartnerControls">COTER-VI</TermName>
          <TermId xmlns="http://schemas.microsoft.com/office/infopath/2007/PartnerControls">83557551-cb0a-4a30-8de1-bd4ab4e4cffd</TermId>
        </TermInfo>
      </Terms>
    </DossierName_0>
    <DocumentSource_0 xmlns="http://schemas.microsoft.com/sharepoint/v3/fields">
      <Terms xmlns="http://schemas.microsoft.com/office/infopath/2007/PartnerControls">
        <TermInfo xmlns="http://schemas.microsoft.com/office/infopath/2007/PartnerControls">
          <TermName xmlns="http://schemas.microsoft.com/office/infopath/2007/PartnerControls">CoR</TermName>
          <TermId xmlns="http://schemas.microsoft.com/office/infopath/2007/PartnerControls">cb2d75ef-4a7d-4393-b797-49ed6298a5ea</TermId>
        </TermInfo>
      </Terms>
    </DocumentSource_0>
    <ProductionDate xmlns="57ac29de-03e1-4faa-aad6-90f7f21c01ea">2017-03-27T12:00:00+00:00</ProductionDate>
    <FicheYear xmlns="57ac29de-03e1-4faa-aad6-90f7f21c01ea">2017</FicheYear>
    <DocumentNumber xmlns="78bbc507-0a1c-4aa0-ab61-be5a11f645cb">1814</DocumentNumber>
    <DocumentVersion xmlns="57ac29de-03e1-4faa-aad6-90f7f21c01ea">0</DocumentVersion>
    <DossierNumber xmlns="57ac29de-03e1-4faa-aad6-90f7f21c01ea">15</DossierNumber>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MeetingDate xmlns="57ac29de-03e1-4faa-aad6-90f7f21c01ea">2017-05-11T12:00:00+00:00</MeetingDate>
    <TaxCatchAll xmlns="57ac29de-03e1-4faa-aad6-90f7f21c01ea">
      <Value>32</Value>
      <Value>38</Value>
      <Value>37</Value>
      <Value>36</Value>
      <Value>35</Value>
      <Value>34</Value>
      <Value>33</Value>
      <Value>28</Value>
      <Value>31</Value>
      <Value>77</Value>
      <Value>29</Value>
      <Value>75</Value>
      <Value>27</Value>
      <Value>25</Value>
      <Value>24</Value>
      <Value>23</Value>
      <Value>22</Value>
      <Value>21</Value>
      <Value>20</Value>
      <Value>19</Value>
      <Value>18</Value>
      <Value>17</Value>
      <Value>62</Value>
      <Value>11</Value>
      <Value>9</Value>
      <Value>6</Value>
      <Value>5</Value>
      <Value>4</Value>
      <Value>2</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NL</TermName>
          <TermId xmlns="http://schemas.microsoft.com/office/infopath/2007/PartnerControls">55c6556c-b4f4-441d-9acf-c498d4f838bd</TermId>
        </TermInfo>
      </Terms>
    </DocumentLanguage_0>
    <Rapporteur xmlns="57ac29de-03e1-4faa-aad6-90f7f21c01ea">SCHNEIDER</Rapporteur>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FicheNumber xmlns="57ac29de-03e1-4faa-aad6-90f7f21c01ea">2824</FicheNumber>
    <DocumentYear xmlns="57ac29de-03e1-4faa-aad6-90f7f21c01ea">2016</DocumentYear>
    <DocumentPart xmlns="57ac29de-03e1-4faa-aad6-90f7f21c01ea">0</DocumentPart>
    <AdoptionDate xmlns="57ac29de-03e1-4faa-aad6-90f7f21c01ea" xsi:nil="true"/>
    <RequestingService xmlns="57ac29de-03e1-4faa-aad6-90f7f21c01ea">Commission COTER/BUDG</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SPL-CDR</TermName>
          <TermId xmlns="http://schemas.microsoft.com/office/infopath/2007/PartnerControls">8f822234-72c1-4721-9e21-9e3c2bc35462</TermId>
        </TermInfo>
      </Terms>
    </MeetingName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MT</TermName>
          <TermId xmlns="http://schemas.microsoft.com/office/infopath/2007/PartnerControls">7df99101-6854-4a26-b53a-b88c0da02c26</TermId>
        </TermInfo>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s>
    </AvailableTranslations_0>
    <MeetingNumber xmlns="78bbc507-0a1c-4aa0-ab61-be5a11f645cb">123</MeetingNumber>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1D82DB-30A5-4B83-8BEF-C2CB6F3F3BD0}">
  <ds:schemaRefs>
    <ds:schemaRef ds:uri="http://schemas.microsoft.com/sharepoint/v3/contenttype/forms"/>
  </ds:schemaRefs>
</ds:datastoreItem>
</file>

<file path=customXml/itemProps2.xml><?xml version="1.0" encoding="utf-8"?>
<ds:datastoreItem xmlns:ds="http://schemas.openxmlformats.org/officeDocument/2006/customXml" ds:itemID="{1906012D-BEF8-4DC0-B79E-EB444E5DE5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ac29de-03e1-4faa-aad6-90f7f21c01ea"/>
    <ds:schemaRef ds:uri="http://schemas.microsoft.com/sharepoint/v3/fields"/>
    <ds:schemaRef ds:uri="78bbc507-0a1c-4aa0-ab61-be5a11f645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FFFCAA-2C54-4BD6-BA48-DAD2428444EE}">
  <ds:schemaRefs>
    <ds:schemaRef ds:uri="http://schemas.microsoft.com/sharepoint/events"/>
  </ds:schemaRefs>
</ds:datastoreItem>
</file>

<file path=customXml/itemProps4.xml><?xml version="1.0" encoding="utf-8"?>
<ds:datastoreItem xmlns:ds="http://schemas.openxmlformats.org/officeDocument/2006/customXml" ds:itemID="{1671F4DC-B618-441C-970E-B71C69155454}">
  <ds:schemaRefs>
    <ds:schemaRef ds:uri="http://schemas.microsoft.com/office/2006/metadata/properties"/>
    <ds:schemaRef ds:uri="http://schemas.microsoft.com/office/infopath/2007/PartnerControls"/>
    <ds:schemaRef ds:uri="57ac29de-03e1-4faa-aad6-90f7f21c01ea"/>
    <ds:schemaRef ds:uri="http://schemas.microsoft.com/sharepoint/v3/fields"/>
    <ds:schemaRef ds:uri="78bbc507-0a1c-4aa0-ab61-be5a11f645cb"/>
  </ds:schemaRefs>
</ds:datastoreItem>
</file>

<file path=customXml/itemProps5.xml><?xml version="1.0" encoding="utf-8"?>
<ds:datastoreItem xmlns:ds="http://schemas.openxmlformats.org/officeDocument/2006/customXml" ds:itemID="{58B338FD-8E27-497A-AE4B-EEF84B1EE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8097</Words>
  <Characters>44539</Characters>
  <Application>Microsoft Office Word</Application>
  <DocSecurity>0</DocSecurity>
  <Lines>371</Lines>
  <Paragraphs>105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Naar een sterk en doeltreffend Europees cohesiebeleid na 2020</vt:lpstr>
      <vt:lpstr>The Future of Cohesion Policy beyond 2020</vt:lpstr>
    </vt:vector>
  </TitlesOfParts>
  <Company>CESE-CdR</Company>
  <LinksUpToDate>false</LinksUpToDate>
  <CharactersWithSpaces>52531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Naar een sterk en doeltreffend Europees cohesiebeleid na 2020</dc:title>
  <dc:subject>Ontwerp-advies van het Comité</dc:subject>
  <dc:creator>De Proft Marleen</dc:creator>
  <cp:keywords>COR-2016-01814-00-00-PAC-TRA-NL</cp:keywords>
  <dc:description>Rapporteur: SCHNEIDER_x000d_
Brontaal: EN_x000d_
Datum document: 27/03/2017_x000d_
Datum vergadering: 11/05/2017_x000d_
Externe documenten: -_x000d_
Verantwoordelijke ambtenaar: Modro Gordon, telefoon: + 2 282 2434_x000d_
_x000d_
Samenvatting:</dc:description>
  <cp:lastModifiedBy>De Proft Marleen</cp:lastModifiedBy>
  <cp:revision>2</cp:revision>
  <cp:lastPrinted>2017-03-09T14:32:00Z</cp:lastPrinted>
  <dcterms:created xsi:type="dcterms:W3CDTF">2017-06-02T06:34:00Z</dcterms:created>
  <dcterms:modified xsi:type="dcterms:W3CDTF">2017-06-02T06:34:00Z</dcterms:modified>
  <cp:category>COTER-VI/015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vent date">
    <vt:lpwstr/>
  </property>
  <property fmtid="{D5CDD505-2E9C-101B-9397-08002B2CF9AE}" pid="3" name="Year">
    <vt:lpwstr/>
  </property>
  <property fmtid="{D5CDD505-2E9C-101B-9397-08002B2CF9AE}" pid="4" name="Domain New">
    <vt:lpwstr>IT tools related documents</vt:lpwstr>
  </property>
  <property fmtid="{D5CDD505-2E9C-101B-9397-08002B2CF9AE}" pid="5" name="Subdomain New">
    <vt:lpwstr>Ariane</vt:lpwstr>
  </property>
  <property fmtid="{D5CDD505-2E9C-101B-9397-08002B2CF9AE}" pid="6" name="ContentTypeId">
    <vt:lpwstr>0x010100EA97B91038054C99906057A708A1480A0020D0B0D07EE053498746FBD671D227E6</vt:lpwstr>
  </property>
  <property fmtid="{D5CDD505-2E9C-101B-9397-08002B2CF9AE}" pid="7" name="Pref_formatted">
    <vt:bool>true</vt:bool>
  </property>
  <property fmtid="{D5CDD505-2E9C-101B-9397-08002B2CF9AE}" pid="8" name="Pref_Date">
    <vt:lpwstr>13/03/2017, 13/03/2017, 16/01/2017, 03/01/2017, 25/08/2016</vt:lpwstr>
  </property>
  <property fmtid="{D5CDD505-2E9C-101B-9397-08002B2CF9AE}" pid="9" name="Pref_Time">
    <vt:lpwstr>14:50:10, 11:09:46, 12:03:34, 10:48:32, 15:28:16</vt:lpwstr>
  </property>
  <property fmtid="{D5CDD505-2E9C-101B-9397-08002B2CF9AE}" pid="10" name="Pref_User">
    <vt:lpwstr>enied, YMUR, enied, amett, mkop</vt:lpwstr>
  </property>
  <property fmtid="{D5CDD505-2E9C-101B-9397-08002B2CF9AE}" pid="11" name="Pref_FileName">
    <vt:lpwstr>COR-2016-01814-00-00-PAC-TRA-EN-CRR.docx, COR-2016-01814-00-00-PAC-CRR-EN.docx, COR-2016-01814-00-01-PA-ORI.docx, COR-2016-01814-00-00-PA-TRA-DE-CRR.docx, COR-2016-01814-00-01-DT-TRA-DE-CRR.docx</vt:lpwstr>
  </property>
  <property fmtid="{D5CDD505-2E9C-101B-9397-08002B2CF9AE}" pid="12" name="_dlc_DocIdItemGuid">
    <vt:lpwstr>421cf7b5-ea1f-47d7-9665-f1763b3d7363</vt:lpwstr>
  </property>
  <property fmtid="{D5CDD505-2E9C-101B-9397-08002B2CF9AE}" pid="13" name="MeetingNumber">
    <vt:i4>123</vt:i4>
  </property>
  <property fmtid="{D5CDD505-2E9C-101B-9397-08002B2CF9AE}" pid="14" name="DocumentType_0">
    <vt:lpwstr>PAC|719e5324-e7b4-48f6-9bbb-a2f1f3496a94</vt:lpwstr>
  </property>
  <property fmtid="{D5CDD505-2E9C-101B-9397-08002B2CF9AE}" pid="15" name="AvailableTranslations">
    <vt:lpwstr>25;#SL|98a412ae-eb01-49e9-ae3d-585a81724cfc;#11;#FR|d2afafd3-4c81-4f60-8f52-ee33f2f54ff3;#33;#FI|87606a43-d45f-42d6-b8c9-e1a3457db5b7;#20;#IT|0774613c-01ed-4e5d-a25d-11d2388de825;#9;#ES|e7a6b05b-ae16-40c8-add9-68b64b03aeba;#27;#DA|5d49c027-8956-412b-aa16-</vt:lpwstr>
  </property>
  <property fmtid="{D5CDD505-2E9C-101B-9397-08002B2CF9AE}" pid="16" name="DossierName_0">
    <vt:lpwstr>COTER-VI|83557551-cb0a-4a30-8de1-bd4ab4e4cffd</vt:lpwstr>
  </property>
  <property fmtid="{D5CDD505-2E9C-101B-9397-08002B2CF9AE}" pid="17" name="DocumentSource_0">
    <vt:lpwstr>CoR|cb2d75ef-4a7d-4393-b797-49ed6298a5ea</vt:lpwstr>
  </property>
  <property fmtid="{D5CDD505-2E9C-101B-9397-08002B2CF9AE}" pid="18" name="FicheYear">
    <vt:i4>2017</vt:i4>
  </property>
  <property fmtid="{D5CDD505-2E9C-101B-9397-08002B2CF9AE}" pid="19" name="DocumentNumber">
    <vt:i4>1814</vt:i4>
  </property>
  <property fmtid="{D5CDD505-2E9C-101B-9397-08002B2CF9AE}" pid="20" name="DocumentVersion">
    <vt:i4>0</vt:i4>
  </property>
  <property fmtid="{D5CDD505-2E9C-101B-9397-08002B2CF9AE}" pid="21" name="DossierNumber">
    <vt:i4>15</vt:i4>
  </property>
  <property fmtid="{D5CDD505-2E9C-101B-9397-08002B2CF9AE}" pid="22" name="DocumentStatus">
    <vt:lpwstr>2;#TRA|150d2a88-1431-44e6-a8ca-0bb753ab8672</vt:lpwstr>
  </property>
  <property fmtid="{D5CDD505-2E9C-101B-9397-08002B2CF9AE}" pid="23" name="DossierName">
    <vt:lpwstr>75;#COTER-VI|83557551-cb0a-4a30-8de1-bd4ab4e4cffd</vt:lpwstr>
  </property>
  <property fmtid="{D5CDD505-2E9C-101B-9397-08002B2CF9AE}" pid="24" name="RequestingService">
    <vt:lpwstr>Commission COTER/BUDG</vt:lpwstr>
  </property>
  <property fmtid="{D5CDD505-2E9C-101B-9397-08002B2CF9AE}" pid="25" name="Confidentiality">
    <vt:lpwstr>5;#Unrestricted|826e22d7-d029-4ec0-a450-0c28ff673572</vt:lpwstr>
  </property>
  <property fmtid="{D5CDD505-2E9C-101B-9397-08002B2CF9AE}" pid="26" name="Confidentiality_0">
    <vt:lpwstr>Unrestricted|826e22d7-d029-4ec0-a450-0c28ff673572</vt:lpwstr>
  </property>
  <property fmtid="{D5CDD505-2E9C-101B-9397-08002B2CF9AE}" pid="27" name="MeetingName_0">
    <vt:lpwstr>SPL-CDR|8f822234-72c1-4721-9e21-9e3c2bc35462</vt:lpwstr>
  </property>
  <property fmtid="{D5CDD505-2E9C-101B-9397-08002B2CF9AE}" pid="28" name="OriginalLanguage">
    <vt:lpwstr>4;#EN|f2175f21-25d7-44a3-96da-d6a61b075e1b</vt:lpwstr>
  </property>
  <property fmtid="{D5CDD505-2E9C-101B-9397-08002B2CF9AE}" pid="29" name="MeetingName">
    <vt:lpwstr>62;#SPL-CDR|8f822234-72c1-4721-9e21-9e3c2bc35462</vt:lpwstr>
  </property>
  <property fmtid="{D5CDD505-2E9C-101B-9397-08002B2CF9AE}" pid="30" name="DocumentStatus_0">
    <vt:lpwstr>TRA|150d2a88-1431-44e6-a8ca-0bb753ab8672</vt:lpwstr>
  </property>
  <property fmtid="{D5CDD505-2E9C-101B-9397-08002B2CF9AE}" pid="31" name="OriginalLanguage_0">
    <vt:lpwstr>EN|f2175f21-25d7-44a3-96da-d6a61b075e1b</vt:lpwstr>
  </property>
  <property fmtid="{D5CDD505-2E9C-101B-9397-08002B2CF9AE}" pid="32" name="MeetingDate">
    <vt:filetime>2017-05-11T12:00:00Z</vt:filetime>
  </property>
  <property fmtid="{D5CDD505-2E9C-101B-9397-08002B2CF9AE}" pid="33" name="TaxCatchAll">
    <vt:lpwstr>19;#EL|6d4f4d51-af9b-4650-94b4-4276bee85c91;#17;#DE|f6b31e5a-26fa-4935-b661-318e46daf27e;#62;#SPL-CDR|8f822234-72c1-4721-9e21-9e3c2bc35462;#38;#PT|50ccc04a-eadd-42ae-a0cb-acaf45f812ba;#35;#CS|72f9705b-0217-4fd3-bea2-cbc7ed80e26e;#11;#FR|d2afafd3-4c81-4f60</vt:lpwstr>
  </property>
  <property fmtid="{D5CDD505-2E9C-101B-9397-08002B2CF9AE}" pid="34" name="AvailableTranslations_0">
    <vt:lpwstr>FR|d2afafd3-4c81-4f60-8f52-ee33f2f54ff3;CS|72f9705b-0217-4fd3-bea2-cbc7ed80e26e;EL|6d4f4d51-af9b-4650-94b4-4276bee85c91;DE|f6b31e5a-26fa-4935-b661-318e46daf27e;PT|50ccc04a-eadd-42ae-a0cb-acaf45f812ba;EN|f2175f21-25d7-44a3-96da-d6a61b075e1b</vt:lpwstr>
  </property>
  <property fmtid="{D5CDD505-2E9C-101B-9397-08002B2CF9AE}" pid="35" name="VersionStatus">
    <vt:lpwstr>6;#Final|ea5e6674-7b27-4bac-b091-73adbb394efe</vt:lpwstr>
  </property>
  <property fmtid="{D5CDD505-2E9C-101B-9397-08002B2CF9AE}" pid="36" name="Rapporteur">
    <vt:lpwstr>SCHNEIDER</vt:lpwstr>
  </property>
  <property fmtid="{D5CDD505-2E9C-101B-9397-08002B2CF9AE}" pid="37" name="VersionStatus_0">
    <vt:lpwstr>Final|ea5e6674-7b27-4bac-b091-73adbb394efe</vt:lpwstr>
  </property>
  <property fmtid="{D5CDD505-2E9C-101B-9397-08002B2CF9AE}" pid="38" name="FicheNumber">
    <vt:i4>2824</vt:i4>
  </property>
  <property fmtid="{D5CDD505-2E9C-101B-9397-08002B2CF9AE}" pid="39" name="DocumentYear">
    <vt:i4>2016</vt:i4>
  </property>
  <property fmtid="{D5CDD505-2E9C-101B-9397-08002B2CF9AE}" pid="40" name="DocumentSource">
    <vt:lpwstr>1;#CoR|cb2d75ef-4a7d-4393-b797-49ed6298a5ea</vt:lpwstr>
  </property>
  <property fmtid="{D5CDD505-2E9C-101B-9397-08002B2CF9AE}" pid="41" name="DocumentType">
    <vt:lpwstr>77;#PAC|719e5324-e7b4-48f6-9bbb-a2f1f3496a94</vt:lpwstr>
  </property>
  <property fmtid="{D5CDD505-2E9C-101B-9397-08002B2CF9AE}" pid="42" name="DocumentPart">
    <vt:i4>0</vt:i4>
  </property>
  <property fmtid="{D5CDD505-2E9C-101B-9397-08002B2CF9AE}" pid="43" name="DocumentLanguage">
    <vt:lpwstr>18;#NL|55c6556c-b4f4-441d-9acf-c498d4f838bd</vt:lpwstr>
  </property>
  <property fmtid="{D5CDD505-2E9C-101B-9397-08002B2CF9AE}" pid="44" name="DocumentLanguage_0">
    <vt:lpwstr>DE|f6b31e5a-26fa-4935-b661-318e46daf27e</vt:lpwstr>
  </property>
  <property fmtid="{D5CDD505-2E9C-101B-9397-08002B2CF9AE}" pid="45" name="StyleCheckSum">
    <vt:lpwstr>45307_C49881_P409_L77</vt:lpwstr>
  </property>
</Properties>
</file>