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C8" w:rsidRDefault="002120C8" w:rsidP="002120C8">
      <w:pPr>
        <w:autoSpaceDE w:val="0"/>
        <w:autoSpaceDN w:val="0"/>
        <w:adjustRightInd w:val="0"/>
        <w:spacing w:before="120" w:after="120" w:line="360" w:lineRule="auto"/>
        <w:jc w:val="center"/>
        <w:rPr>
          <w:b/>
          <w:sz w:val="28"/>
          <w:szCs w:val="28"/>
        </w:rPr>
      </w:pPr>
      <w:r>
        <w:rPr>
          <w:b/>
          <w:sz w:val="28"/>
          <w:szCs w:val="28"/>
        </w:rPr>
        <w:t>Presidency Note</w:t>
      </w:r>
    </w:p>
    <w:p w:rsidR="008724BC" w:rsidRPr="006050E6" w:rsidRDefault="008724BC" w:rsidP="00D85A75">
      <w:pPr>
        <w:autoSpaceDE w:val="0"/>
        <w:autoSpaceDN w:val="0"/>
        <w:adjustRightInd w:val="0"/>
        <w:spacing w:before="120" w:after="120" w:line="360" w:lineRule="auto"/>
        <w:jc w:val="center"/>
        <w:rPr>
          <w:b/>
          <w:sz w:val="28"/>
          <w:szCs w:val="28"/>
        </w:rPr>
      </w:pPr>
      <w:r>
        <w:rPr>
          <w:b/>
          <w:sz w:val="28"/>
          <w:szCs w:val="28"/>
        </w:rPr>
        <w:t>S</w:t>
      </w:r>
      <w:r w:rsidRPr="006050E6">
        <w:rPr>
          <w:b/>
          <w:sz w:val="28"/>
          <w:szCs w:val="28"/>
        </w:rPr>
        <w:t xml:space="preserve">tate of play of the European construction sector </w:t>
      </w:r>
    </w:p>
    <w:p w:rsidR="008724BC" w:rsidRPr="006050E6" w:rsidRDefault="00B14197" w:rsidP="002120C8">
      <w:pPr>
        <w:autoSpaceDE w:val="0"/>
        <w:autoSpaceDN w:val="0"/>
        <w:adjustRightInd w:val="0"/>
        <w:spacing w:before="120" w:after="120" w:line="360" w:lineRule="auto"/>
        <w:jc w:val="center"/>
        <w:rPr>
          <w:b/>
          <w:sz w:val="28"/>
          <w:szCs w:val="28"/>
        </w:rPr>
      </w:pPr>
      <w:r>
        <w:rPr>
          <w:b/>
          <w:sz w:val="28"/>
          <w:szCs w:val="28"/>
        </w:rPr>
        <w:t xml:space="preserve">Lunch </w:t>
      </w:r>
      <w:r w:rsidR="002120C8">
        <w:rPr>
          <w:b/>
          <w:sz w:val="28"/>
          <w:szCs w:val="28"/>
        </w:rPr>
        <w:t xml:space="preserve">at </w:t>
      </w:r>
      <w:r>
        <w:rPr>
          <w:b/>
          <w:sz w:val="28"/>
          <w:szCs w:val="28"/>
        </w:rPr>
        <w:t xml:space="preserve">the </w:t>
      </w:r>
      <w:r w:rsidR="008724BC" w:rsidRPr="006050E6">
        <w:rPr>
          <w:b/>
          <w:sz w:val="28"/>
          <w:szCs w:val="28"/>
        </w:rPr>
        <w:t>Competitiveness Council, 29 September 2016</w:t>
      </w:r>
    </w:p>
    <w:p w:rsidR="008724BC" w:rsidRPr="006050E6" w:rsidRDefault="008724BC" w:rsidP="00AE6D39">
      <w:pPr>
        <w:spacing w:before="120" w:after="120" w:line="360" w:lineRule="auto"/>
        <w:jc w:val="both"/>
        <w:rPr>
          <w:b/>
          <w:bCs/>
          <w:sz w:val="24"/>
          <w:szCs w:val="24"/>
        </w:rPr>
      </w:pPr>
    </w:p>
    <w:p w:rsidR="008724BC" w:rsidRPr="006050E6" w:rsidRDefault="008724BC" w:rsidP="00AE6D39">
      <w:pPr>
        <w:autoSpaceDE w:val="0"/>
        <w:autoSpaceDN w:val="0"/>
        <w:adjustRightInd w:val="0"/>
        <w:spacing w:before="120" w:after="120" w:line="360" w:lineRule="auto"/>
        <w:jc w:val="both"/>
        <w:rPr>
          <w:b/>
          <w:bCs/>
        </w:rPr>
      </w:pPr>
      <w:r w:rsidRPr="006050E6">
        <w:rPr>
          <w:b/>
          <w:bCs/>
        </w:rPr>
        <w:t>I. INTRODUCTION</w:t>
      </w:r>
    </w:p>
    <w:p w:rsidR="008724BC" w:rsidRPr="006050E6" w:rsidRDefault="008724BC" w:rsidP="00AE6D39">
      <w:pPr>
        <w:spacing w:before="120" w:after="120" w:line="360" w:lineRule="auto"/>
        <w:jc w:val="both"/>
        <w:rPr>
          <w:sz w:val="24"/>
          <w:szCs w:val="24"/>
        </w:rPr>
      </w:pPr>
      <w:r w:rsidRPr="006050E6">
        <w:rPr>
          <w:sz w:val="24"/>
          <w:szCs w:val="24"/>
        </w:rPr>
        <w:t xml:space="preserve">Construction is </w:t>
      </w:r>
      <w:r w:rsidR="00B14197">
        <w:rPr>
          <w:sz w:val="24"/>
          <w:szCs w:val="24"/>
        </w:rPr>
        <w:t>an important</w:t>
      </w:r>
      <w:r w:rsidRPr="006050E6">
        <w:rPr>
          <w:sz w:val="24"/>
          <w:szCs w:val="24"/>
        </w:rPr>
        <w:t xml:space="preserve"> driver of economic growth and employment in every country but also for the European economy</w:t>
      </w:r>
      <w:r w:rsidR="00B14197">
        <w:rPr>
          <w:sz w:val="24"/>
          <w:szCs w:val="24"/>
        </w:rPr>
        <w:t xml:space="preserve"> as a whole</w:t>
      </w:r>
      <w:r w:rsidRPr="006050E6">
        <w:rPr>
          <w:sz w:val="24"/>
          <w:szCs w:val="24"/>
        </w:rPr>
        <w:t xml:space="preserve">. </w:t>
      </w:r>
      <w:r w:rsidR="00B14197">
        <w:rPr>
          <w:sz w:val="24"/>
          <w:szCs w:val="24"/>
        </w:rPr>
        <w:t>The sector</w:t>
      </w:r>
      <w:r w:rsidRPr="006050E6">
        <w:rPr>
          <w:sz w:val="24"/>
          <w:szCs w:val="24"/>
        </w:rPr>
        <w:t xml:space="preserve"> not only </w:t>
      </w:r>
      <w:r w:rsidR="002E4A3E">
        <w:rPr>
          <w:sz w:val="24"/>
          <w:szCs w:val="24"/>
        </w:rPr>
        <w:t xml:space="preserve">makes an important </w:t>
      </w:r>
      <w:r w:rsidRPr="006050E6">
        <w:rPr>
          <w:sz w:val="24"/>
          <w:szCs w:val="24"/>
        </w:rPr>
        <w:t>contribu</w:t>
      </w:r>
      <w:r w:rsidR="002E4A3E">
        <w:rPr>
          <w:sz w:val="24"/>
          <w:szCs w:val="24"/>
        </w:rPr>
        <w:t>tion</w:t>
      </w:r>
      <w:r w:rsidRPr="006050E6">
        <w:rPr>
          <w:sz w:val="24"/>
          <w:szCs w:val="24"/>
        </w:rPr>
        <w:t xml:space="preserve"> to the EU</w:t>
      </w:r>
      <w:r w:rsidR="00B14197">
        <w:rPr>
          <w:sz w:val="24"/>
          <w:szCs w:val="24"/>
        </w:rPr>
        <w:t>'s</w:t>
      </w:r>
      <w:r w:rsidRPr="006050E6">
        <w:rPr>
          <w:sz w:val="24"/>
          <w:szCs w:val="24"/>
        </w:rPr>
        <w:t xml:space="preserve"> GDP and to employment rates, it </w:t>
      </w:r>
      <w:r w:rsidR="00B14197">
        <w:rPr>
          <w:sz w:val="24"/>
          <w:szCs w:val="24"/>
        </w:rPr>
        <w:t xml:space="preserve">also </w:t>
      </w:r>
      <w:r w:rsidRPr="006050E6">
        <w:rPr>
          <w:sz w:val="24"/>
          <w:szCs w:val="24"/>
        </w:rPr>
        <w:t xml:space="preserve">impacts directly on </w:t>
      </w:r>
      <w:r w:rsidR="00B14197">
        <w:rPr>
          <w:sz w:val="24"/>
          <w:szCs w:val="24"/>
        </w:rPr>
        <w:t xml:space="preserve">the </w:t>
      </w:r>
      <w:r w:rsidRPr="006050E6">
        <w:rPr>
          <w:sz w:val="24"/>
          <w:szCs w:val="24"/>
        </w:rPr>
        <w:t>daily life of citizens</w:t>
      </w:r>
      <w:r w:rsidR="00B14197">
        <w:rPr>
          <w:sz w:val="24"/>
          <w:szCs w:val="24"/>
        </w:rPr>
        <w:t>,</w:t>
      </w:r>
      <w:r w:rsidRPr="006050E6">
        <w:rPr>
          <w:sz w:val="24"/>
          <w:szCs w:val="24"/>
        </w:rPr>
        <w:t xml:space="preserve"> affecting </w:t>
      </w:r>
      <w:r w:rsidR="00B14197">
        <w:rPr>
          <w:sz w:val="24"/>
          <w:szCs w:val="24"/>
        </w:rPr>
        <w:t xml:space="preserve">the </w:t>
      </w:r>
      <w:r w:rsidRPr="006050E6">
        <w:rPr>
          <w:sz w:val="24"/>
          <w:szCs w:val="24"/>
        </w:rPr>
        <w:t xml:space="preserve">quality of life, </w:t>
      </w:r>
      <w:r w:rsidR="00B14197">
        <w:rPr>
          <w:sz w:val="24"/>
          <w:szCs w:val="24"/>
        </w:rPr>
        <w:t xml:space="preserve">the </w:t>
      </w:r>
      <w:r w:rsidRPr="006050E6">
        <w:rPr>
          <w:sz w:val="24"/>
          <w:szCs w:val="24"/>
        </w:rPr>
        <w:t>use of natural resources and the environment.</w:t>
      </w:r>
    </w:p>
    <w:p w:rsidR="008724BC" w:rsidRPr="006050E6" w:rsidRDefault="008724BC" w:rsidP="00AE6D39">
      <w:pPr>
        <w:spacing w:before="120" w:after="120" w:line="360" w:lineRule="auto"/>
        <w:jc w:val="both"/>
        <w:rPr>
          <w:sz w:val="24"/>
          <w:szCs w:val="24"/>
        </w:rPr>
      </w:pPr>
      <w:r w:rsidRPr="006050E6">
        <w:rPr>
          <w:sz w:val="24"/>
          <w:szCs w:val="24"/>
        </w:rPr>
        <w:t>The performance of the construction sector – and the policies that support it – respond</w:t>
      </w:r>
      <w:r w:rsidR="00B14197">
        <w:rPr>
          <w:sz w:val="24"/>
          <w:szCs w:val="24"/>
        </w:rPr>
        <w:t>s</w:t>
      </w:r>
      <w:r w:rsidRPr="006050E6">
        <w:rPr>
          <w:sz w:val="24"/>
          <w:szCs w:val="24"/>
        </w:rPr>
        <w:t xml:space="preserve"> to long-term societal challenges that Europe will face, especially jobs and growth, demographic changes, climate change, creating smart cities and resource sustainability. These challenges in turn represent opportunities for the sector, in particular </w:t>
      </w:r>
      <w:r w:rsidR="002E4A3E">
        <w:rPr>
          <w:sz w:val="24"/>
          <w:szCs w:val="24"/>
        </w:rPr>
        <w:t xml:space="preserve">to increase </w:t>
      </w:r>
      <w:r w:rsidRPr="006050E6">
        <w:rPr>
          <w:sz w:val="24"/>
          <w:szCs w:val="24"/>
        </w:rPr>
        <w:t>energy efficiency in buildings.</w:t>
      </w:r>
    </w:p>
    <w:p w:rsidR="008724BC" w:rsidRPr="006050E6" w:rsidRDefault="008724BC" w:rsidP="00AE6D39">
      <w:pPr>
        <w:spacing w:before="120" w:after="120" w:line="360" w:lineRule="auto"/>
        <w:jc w:val="both"/>
        <w:rPr>
          <w:sz w:val="24"/>
          <w:szCs w:val="24"/>
        </w:rPr>
      </w:pPr>
      <w:r w:rsidRPr="006050E6">
        <w:rPr>
          <w:sz w:val="24"/>
          <w:szCs w:val="24"/>
        </w:rPr>
        <w:t>Despite achievements</w:t>
      </w:r>
      <w:r w:rsidR="002E4A3E">
        <w:rPr>
          <w:sz w:val="24"/>
          <w:szCs w:val="24"/>
        </w:rPr>
        <w:t xml:space="preserve"> over the years</w:t>
      </w:r>
      <w:r w:rsidRPr="006050E6">
        <w:rPr>
          <w:sz w:val="24"/>
          <w:szCs w:val="24"/>
        </w:rPr>
        <w:t xml:space="preserve">, </w:t>
      </w:r>
      <w:r w:rsidR="002E4A3E">
        <w:rPr>
          <w:sz w:val="24"/>
          <w:szCs w:val="24"/>
        </w:rPr>
        <w:t xml:space="preserve">much remains to be done if </w:t>
      </w:r>
      <w:r w:rsidRPr="006050E6">
        <w:rPr>
          <w:sz w:val="24"/>
          <w:szCs w:val="24"/>
        </w:rPr>
        <w:t xml:space="preserve">the construction sector </w:t>
      </w:r>
      <w:r w:rsidR="002E4A3E">
        <w:rPr>
          <w:sz w:val="24"/>
          <w:szCs w:val="24"/>
        </w:rPr>
        <w:t xml:space="preserve">is </w:t>
      </w:r>
      <w:r w:rsidRPr="006050E6">
        <w:rPr>
          <w:sz w:val="24"/>
          <w:szCs w:val="24"/>
        </w:rPr>
        <w:t xml:space="preserve">to address </w:t>
      </w:r>
      <w:r w:rsidR="002E4A3E">
        <w:rPr>
          <w:sz w:val="24"/>
          <w:szCs w:val="24"/>
        </w:rPr>
        <w:t xml:space="preserve">Europe's </w:t>
      </w:r>
      <w:r w:rsidRPr="006050E6">
        <w:rPr>
          <w:sz w:val="24"/>
          <w:szCs w:val="24"/>
        </w:rPr>
        <w:t>economic, societal and environmental challenges</w:t>
      </w:r>
      <w:r w:rsidR="002E4A3E">
        <w:rPr>
          <w:sz w:val="24"/>
          <w:szCs w:val="24"/>
        </w:rPr>
        <w:t xml:space="preserve"> in a better way than it does at present</w:t>
      </w:r>
      <w:r w:rsidRPr="006050E6">
        <w:rPr>
          <w:sz w:val="24"/>
          <w:szCs w:val="24"/>
        </w:rPr>
        <w:t xml:space="preserve">. </w:t>
      </w:r>
    </w:p>
    <w:p w:rsidR="008724BC" w:rsidRDefault="008724BC" w:rsidP="00AE6D39">
      <w:pPr>
        <w:spacing w:before="120" w:after="120" w:line="360" w:lineRule="auto"/>
        <w:jc w:val="both"/>
        <w:rPr>
          <w:sz w:val="24"/>
          <w:szCs w:val="24"/>
        </w:rPr>
      </w:pPr>
      <w:r w:rsidRPr="006050E6">
        <w:rPr>
          <w:sz w:val="24"/>
          <w:szCs w:val="24"/>
        </w:rPr>
        <w:t xml:space="preserve">The </w:t>
      </w:r>
      <w:r w:rsidR="00B3493D" w:rsidRPr="00B3493D">
        <w:rPr>
          <w:sz w:val="24"/>
          <w:szCs w:val="24"/>
        </w:rPr>
        <w:t xml:space="preserve">Strategy for the sustainable competitiveness of the construction sector and its enterprises  </w:t>
      </w:r>
      <w:r w:rsidR="00B3493D">
        <w:rPr>
          <w:sz w:val="24"/>
          <w:szCs w:val="24"/>
        </w:rPr>
        <w:t xml:space="preserve"> from August 2012, which includes an Action Plan running until 2020, </w:t>
      </w:r>
      <w:r w:rsidRPr="006050E6">
        <w:rPr>
          <w:sz w:val="24"/>
          <w:szCs w:val="24"/>
        </w:rPr>
        <w:t>addresses the main challenges the industry faces up to 2020 and sets out strategic priorities for it to grow strong and more viable in the future</w:t>
      </w:r>
      <w:r w:rsidRPr="006050E6">
        <w:rPr>
          <w:rStyle w:val="FootnoteReference"/>
          <w:sz w:val="24"/>
          <w:szCs w:val="24"/>
        </w:rPr>
        <w:footnoteReference w:id="1"/>
      </w:r>
      <w:r w:rsidRPr="006050E6">
        <w:rPr>
          <w:sz w:val="24"/>
          <w:szCs w:val="24"/>
        </w:rPr>
        <w:t xml:space="preserve">. </w:t>
      </w:r>
      <w:r w:rsidR="002E4A3E">
        <w:rPr>
          <w:sz w:val="24"/>
          <w:szCs w:val="24"/>
        </w:rPr>
        <w:t xml:space="preserve">During the past four years, </w:t>
      </w:r>
      <w:r w:rsidRPr="006050E6">
        <w:rPr>
          <w:sz w:val="24"/>
          <w:szCs w:val="24"/>
        </w:rPr>
        <w:t xml:space="preserve">progress has been made in </w:t>
      </w:r>
      <w:r w:rsidR="00B3493D">
        <w:rPr>
          <w:sz w:val="24"/>
          <w:szCs w:val="24"/>
        </w:rPr>
        <w:t>the</w:t>
      </w:r>
      <w:r w:rsidRPr="006050E6">
        <w:rPr>
          <w:sz w:val="24"/>
          <w:szCs w:val="24"/>
        </w:rPr>
        <w:t xml:space="preserve"> implementation</w:t>
      </w:r>
      <w:r w:rsidR="00B3493D">
        <w:rPr>
          <w:sz w:val="24"/>
          <w:szCs w:val="24"/>
        </w:rPr>
        <w:t xml:space="preserve"> of the Action Plan</w:t>
      </w:r>
      <w:r w:rsidRPr="006050E6">
        <w:rPr>
          <w:sz w:val="24"/>
          <w:szCs w:val="24"/>
        </w:rPr>
        <w:t xml:space="preserve">. But developments </w:t>
      </w:r>
      <w:r w:rsidR="00B3493D">
        <w:rPr>
          <w:sz w:val="24"/>
          <w:szCs w:val="24"/>
        </w:rPr>
        <w:t>in</w:t>
      </w:r>
      <w:r w:rsidRPr="006050E6">
        <w:rPr>
          <w:sz w:val="24"/>
          <w:szCs w:val="24"/>
        </w:rPr>
        <w:t xml:space="preserve"> the sector and </w:t>
      </w:r>
      <w:r w:rsidR="002E4A3E">
        <w:rPr>
          <w:sz w:val="24"/>
          <w:szCs w:val="24"/>
        </w:rPr>
        <w:t>changing</w:t>
      </w:r>
      <w:r w:rsidRPr="006050E6">
        <w:rPr>
          <w:sz w:val="24"/>
          <w:szCs w:val="24"/>
        </w:rPr>
        <w:t xml:space="preserve"> challenges need to be closely </w:t>
      </w:r>
      <w:r w:rsidR="00B3493D">
        <w:rPr>
          <w:sz w:val="24"/>
          <w:szCs w:val="24"/>
        </w:rPr>
        <w:t>monitored</w:t>
      </w:r>
      <w:r w:rsidRPr="006050E6">
        <w:rPr>
          <w:sz w:val="24"/>
          <w:szCs w:val="24"/>
        </w:rPr>
        <w:t xml:space="preserve">. </w:t>
      </w:r>
      <w:r w:rsidR="00B3493D">
        <w:rPr>
          <w:sz w:val="24"/>
          <w:szCs w:val="24"/>
        </w:rPr>
        <w:t>W</w:t>
      </w:r>
      <w:r w:rsidRPr="006050E6">
        <w:rPr>
          <w:sz w:val="24"/>
          <w:szCs w:val="24"/>
        </w:rPr>
        <w:t xml:space="preserve">ith respect to the Single Market Strategy, the very low level of cross-border trade and cross-border investment in this important sector </w:t>
      </w:r>
      <w:r w:rsidR="00B3493D">
        <w:rPr>
          <w:sz w:val="24"/>
          <w:szCs w:val="24"/>
        </w:rPr>
        <w:t>also calls for</w:t>
      </w:r>
      <w:r w:rsidR="000C5246">
        <w:rPr>
          <w:sz w:val="24"/>
          <w:szCs w:val="24"/>
        </w:rPr>
        <w:t xml:space="preserve"> attention</w:t>
      </w:r>
      <w:r w:rsidRPr="006050E6">
        <w:rPr>
          <w:sz w:val="24"/>
          <w:szCs w:val="24"/>
        </w:rPr>
        <w:t>.</w:t>
      </w:r>
    </w:p>
    <w:p w:rsidR="002120C8" w:rsidRDefault="002120C8" w:rsidP="00AE6D39">
      <w:pPr>
        <w:spacing w:before="120" w:after="120" w:line="360" w:lineRule="auto"/>
        <w:jc w:val="both"/>
        <w:rPr>
          <w:sz w:val="24"/>
          <w:szCs w:val="24"/>
        </w:rPr>
      </w:pPr>
    </w:p>
    <w:p w:rsidR="002120C8" w:rsidRPr="006050E6" w:rsidRDefault="002120C8" w:rsidP="00AE6D39">
      <w:pPr>
        <w:spacing w:before="120" w:after="120" w:line="360" w:lineRule="auto"/>
        <w:jc w:val="both"/>
        <w:rPr>
          <w:sz w:val="24"/>
          <w:szCs w:val="24"/>
        </w:rPr>
      </w:pPr>
    </w:p>
    <w:p w:rsidR="008724BC" w:rsidRPr="006050E6" w:rsidRDefault="008724BC" w:rsidP="00AE6D39">
      <w:pPr>
        <w:spacing w:before="120" w:after="120" w:line="360" w:lineRule="auto"/>
        <w:jc w:val="both"/>
        <w:rPr>
          <w:b/>
          <w:bCs/>
        </w:rPr>
      </w:pPr>
    </w:p>
    <w:p w:rsidR="008724BC" w:rsidRPr="006050E6" w:rsidRDefault="008724BC" w:rsidP="00AE6D39">
      <w:pPr>
        <w:autoSpaceDE w:val="0"/>
        <w:autoSpaceDN w:val="0"/>
        <w:adjustRightInd w:val="0"/>
        <w:spacing w:before="120" w:after="120" w:line="360" w:lineRule="auto"/>
        <w:jc w:val="both"/>
        <w:rPr>
          <w:b/>
          <w:bCs/>
        </w:rPr>
      </w:pPr>
      <w:r w:rsidRPr="006050E6">
        <w:rPr>
          <w:b/>
          <w:bCs/>
        </w:rPr>
        <w:lastRenderedPageBreak/>
        <w:t>II. BACKGROUND</w:t>
      </w:r>
    </w:p>
    <w:p w:rsidR="008724BC" w:rsidRPr="006050E6" w:rsidRDefault="008724BC" w:rsidP="002120C8">
      <w:pPr>
        <w:spacing w:before="120" w:after="120" w:line="360" w:lineRule="auto"/>
        <w:jc w:val="both"/>
        <w:rPr>
          <w:b/>
          <w:sz w:val="24"/>
          <w:szCs w:val="24"/>
        </w:rPr>
      </w:pPr>
      <w:r w:rsidRPr="006050E6">
        <w:rPr>
          <w:sz w:val="24"/>
          <w:szCs w:val="24"/>
        </w:rPr>
        <w:t xml:space="preserve">The </w:t>
      </w:r>
      <w:r w:rsidR="0072494D">
        <w:rPr>
          <w:sz w:val="24"/>
          <w:szCs w:val="24"/>
        </w:rPr>
        <w:t>c</w:t>
      </w:r>
      <w:r w:rsidRPr="006050E6">
        <w:rPr>
          <w:sz w:val="24"/>
          <w:szCs w:val="24"/>
        </w:rPr>
        <w:t xml:space="preserve">onstruction </w:t>
      </w:r>
      <w:r w:rsidR="0072494D">
        <w:rPr>
          <w:sz w:val="24"/>
          <w:szCs w:val="24"/>
        </w:rPr>
        <w:t>v</w:t>
      </w:r>
      <w:r w:rsidRPr="006050E6">
        <w:rPr>
          <w:sz w:val="24"/>
          <w:szCs w:val="24"/>
        </w:rPr>
        <w:t xml:space="preserve">alue </w:t>
      </w:r>
      <w:r w:rsidR="0072494D">
        <w:rPr>
          <w:sz w:val="24"/>
          <w:szCs w:val="24"/>
        </w:rPr>
        <w:t>c</w:t>
      </w:r>
      <w:r w:rsidRPr="006050E6">
        <w:rPr>
          <w:sz w:val="24"/>
          <w:szCs w:val="24"/>
        </w:rPr>
        <w:t xml:space="preserve">hain, including contractors, the supply of construction products and equipment, and construction-related professional services, sustained 23 million jobs in 6.2 million companies, 8.2% </w:t>
      </w:r>
      <w:r w:rsidR="00221FC1">
        <w:rPr>
          <w:sz w:val="24"/>
          <w:szCs w:val="24"/>
        </w:rPr>
        <w:t xml:space="preserve">of EU's GDP and </w:t>
      </w:r>
      <w:r w:rsidR="002120C8">
        <w:rPr>
          <w:sz w:val="24"/>
          <w:szCs w:val="24"/>
        </w:rPr>
        <w:t xml:space="preserve">an added </w:t>
      </w:r>
      <w:r w:rsidR="00221FC1">
        <w:rPr>
          <w:sz w:val="24"/>
          <w:szCs w:val="24"/>
        </w:rPr>
        <w:t xml:space="preserve">value of </w:t>
      </w:r>
      <w:r w:rsidRPr="006050E6">
        <w:rPr>
          <w:sz w:val="24"/>
          <w:szCs w:val="24"/>
        </w:rPr>
        <w:t>1.14 trillion</w:t>
      </w:r>
      <w:r w:rsidR="00221FC1">
        <w:rPr>
          <w:sz w:val="24"/>
          <w:szCs w:val="24"/>
        </w:rPr>
        <w:t xml:space="preserve"> EUR</w:t>
      </w:r>
      <w:r w:rsidRPr="006050E6">
        <w:rPr>
          <w:sz w:val="24"/>
          <w:szCs w:val="24"/>
        </w:rPr>
        <w:t xml:space="preserve"> in 2014.</w:t>
      </w:r>
    </w:p>
    <w:p w:rsidR="008724BC" w:rsidRPr="006050E6" w:rsidRDefault="008724BC" w:rsidP="00AE6D39">
      <w:pPr>
        <w:spacing w:before="120" w:after="120" w:line="360" w:lineRule="auto"/>
        <w:jc w:val="both"/>
        <w:rPr>
          <w:sz w:val="24"/>
          <w:szCs w:val="24"/>
        </w:rPr>
      </w:pPr>
      <w:r w:rsidRPr="006050E6">
        <w:rPr>
          <w:sz w:val="24"/>
          <w:szCs w:val="24"/>
        </w:rPr>
        <w:t>Contractors constitute the core of the value chain</w:t>
      </w:r>
      <w:r w:rsidR="0072494D">
        <w:rPr>
          <w:sz w:val="24"/>
          <w:szCs w:val="24"/>
        </w:rPr>
        <w:t>.</w:t>
      </w:r>
      <w:r w:rsidRPr="006050E6">
        <w:rPr>
          <w:sz w:val="24"/>
          <w:szCs w:val="24"/>
        </w:rPr>
        <w:t xml:space="preserve"> </w:t>
      </w:r>
      <w:r w:rsidR="0072494D">
        <w:rPr>
          <w:sz w:val="24"/>
          <w:szCs w:val="24"/>
        </w:rPr>
        <w:t xml:space="preserve">They </w:t>
      </w:r>
      <w:r w:rsidRPr="006050E6">
        <w:rPr>
          <w:sz w:val="24"/>
          <w:szCs w:val="24"/>
        </w:rPr>
        <w:t xml:space="preserve">experienced a severe contraction during the economic and financial crisis from which </w:t>
      </w:r>
      <w:r w:rsidR="0072494D">
        <w:rPr>
          <w:sz w:val="24"/>
          <w:szCs w:val="24"/>
        </w:rPr>
        <w:t>they</w:t>
      </w:r>
      <w:r w:rsidRPr="006050E6">
        <w:rPr>
          <w:sz w:val="24"/>
          <w:szCs w:val="24"/>
        </w:rPr>
        <w:t xml:space="preserve"> ha</w:t>
      </w:r>
      <w:r w:rsidR="0072494D">
        <w:rPr>
          <w:sz w:val="24"/>
          <w:szCs w:val="24"/>
        </w:rPr>
        <w:t>ve</w:t>
      </w:r>
      <w:r w:rsidRPr="006050E6">
        <w:rPr>
          <w:sz w:val="24"/>
          <w:szCs w:val="24"/>
        </w:rPr>
        <w:t xml:space="preserve"> not yet recovered. Having peaked at around 4.8% in 2007-08, contractors' share of GDP fell to 3.5% in 2014. The sector’s share of total employment reached 7.7% by the second half of 2007 but has subsequently fallen to 6.2%. </w:t>
      </w:r>
    </w:p>
    <w:p w:rsidR="008724BC" w:rsidRDefault="00001120" w:rsidP="00AE6D39">
      <w:pPr>
        <w:spacing w:before="120" w:after="120" w:line="360" w:lineRule="auto"/>
        <w:jc w:val="both"/>
        <w:rPr>
          <w:sz w:val="24"/>
          <w:szCs w:val="24"/>
        </w:rPr>
      </w:pPr>
      <w:r>
        <w:rPr>
          <w:sz w:val="24"/>
          <w:szCs w:val="24"/>
        </w:rPr>
        <w:t>In the meantime</w:t>
      </w:r>
      <w:r w:rsidR="008724BC" w:rsidRPr="006050E6">
        <w:rPr>
          <w:sz w:val="24"/>
          <w:szCs w:val="24"/>
        </w:rPr>
        <w:t xml:space="preserve">, the growing demand for energy-efficient buildings has created new business opportunities for enterprises, particularly for the renovation of residential </w:t>
      </w:r>
      <w:r>
        <w:rPr>
          <w:sz w:val="24"/>
          <w:szCs w:val="24"/>
        </w:rPr>
        <w:t>housing</w:t>
      </w:r>
      <w:r w:rsidR="008724BC" w:rsidRPr="006050E6">
        <w:rPr>
          <w:sz w:val="24"/>
          <w:szCs w:val="24"/>
        </w:rPr>
        <w:t xml:space="preserve">. </w:t>
      </w:r>
      <w:r>
        <w:rPr>
          <w:sz w:val="24"/>
          <w:szCs w:val="24"/>
        </w:rPr>
        <w:t>T</w:t>
      </w:r>
      <w:r w:rsidR="008724BC" w:rsidRPr="006050E6">
        <w:rPr>
          <w:sz w:val="24"/>
          <w:szCs w:val="24"/>
        </w:rPr>
        <w:t xml:space="preserve">he turnover </w:t>
      </w:r>
      <w:r>
        <w:rPr>
          <w:sz w:val="24"/>
          <w:szCs w:val="24"/>
        </w:rPr>
        <w:t xml:space="preserve">resulting from </w:t>
      </w:r>
      <w:r w:rsidR="008724BC" w:rsidRPr="006050E6">
        <w:rPr>
          <w:sz w:val="24"/>
          <w:szCs w:val="24"/>
        </w:rPr>
        <w:t>energy efficiency</w:t>
      </w:r>
      <w:r>
        <w:rPr>
          <w:sz w:val="24"/>
          <w:szCs w:val="24"/>
        </w:rPr>
        <w:t xml:space="preserve"> building </w:t>
      </w:r>
      <w:r w:rsidR="008724BC" w:rsidRPr="006050E6">
        <w:rPr>
          <w:sz w:val="24"/>
          <w:szCs w:val="24"/>
        </w:rPr>
        <w:t xml:space="preserve">work in residential buildings </w:t>
      </w:r>
      <w:r>
        <w:rPr>
          <w:sz w:val="24"/>
          <w:szCs w:val="24"/>
        </w:rPr>
        <w:t>is estimated to have been around</w:t>
      </w:r>
      <w:r w:rsidR="008724BC" w:rsidRPr="006050E6">
        <w:rPr>
          <w:sz w:val="24"/>
          <w:szCs w:val="24"/>
        </w:rPr>
        <w:t xml:space="preserve"> € 500 billion</w:t>
      </w:r>
      <w:r>
        <w:rPr>
          <w:sz w:val="24"/>
          <w:szCs w:val="24"/>
        </w:rPr>
        <w:t xml:space="preserve"> between </w:t>
      </w:r>
      <w:r w:rsidRPr="006050E6">
        <w:rPr>
          <w:sz w:val="24"/>
          <w:szCs w:val="24"/>
        </w:rPr>
        <w:t xml:space="preserve">2010 </w:t>
      </w:r>
      <w:r>
        <w:rPr>
          <w:sz w:val="24"/>
          <w:szCs w:val="24"/>
        </w:rPr>
        <w:t xml:space="preserve">and </w:t>
      </w:r>
      <w:r w:rsidRPr="006050E6">
        <w:rPr>
          <w:sz w:val="24"/>
          <w:szCs w:val="24"/>
        </w:rPr>
        <w:t>2014</w:t>
      </w:r>
      <w:r w:rsidR="008724BC" w:rsidRPr="006050E6">
        <w:rPr>
          <w:sz w:val="24"/>
          <w:szCs w:val="24"/>
        </w:rPr>
        <w:t>, i.e.</w:t>
      </w:r>
      <w:r w:rsidR="0072494D">
        <w:rPr>
          <w:sz w:val="24"/>
          <w:szCs w:val="24"/>
        </w:rPr>
        <w:t>,</w:t>
      </w:r>
      <w:r w:rsidR="008724BC" w:rsidRPr="006050E6">
        <w:rPr>
          <w:sz w:val="24"/>
          <w:szCs w:val="24"/>
        </w:rPr>
        <w:t xml:space="preserve"> about 16% of the total residential building market.</w:t>
      </w:r>
    </w:p>
    <w:p w:rsidR="00183624" w:rsidRPr="006050E6" w:rsidRDefault="00183624" w:rsidP="00AE6D39">
      <w:pPr>
        <w:spacing w:before="120" w:after="120" w:line="360" w:lineRule="auto"/>
        <w:jc w:val="both"/>
        <w:rPr>
          <w:sz w:val="24"/>
          <w:szCs w:val="24"/>
        </w:rPr>
      </w:pPr>
    </w:p>
    <w:p w:rsidR="008724BC" w:rsidRPr="006050E6" w:rsidRDefault="008724BC" w:rsidP="00AE6D39">
      <w:pPr>
        <w:spacing w:before="120" w:after="120" w:line="360" w:lineRule="auto"/>
        <w:jc w:val="both"/>
        <w:rPr>
          <w:b/>
          <w:i/>
          <w:sz w:val="24"/>
          <w:szCs w:val="24"/>
        </w:rPr>
      </w:pPr>
      <w:r w:rsidRPr="006050E6">
        <w:rPr>
          <w:b/>
          <w:i/>
          <w:sz w:val="24"/>
          <w:szCs w:val="24"/>
        </w:rPr>
        <w:t>1. Investment</w:t>
      </w:r>
      <w:r w:rsidR="00001120">
        <w:rPr>
          <w:b/>
          <w:i/>
          <w:sz w:val="24"/>
          <w:szCs w:val="24"/>
        </w:rPr>
        <w:t>s</w:t>
      </w:r>
      <w:r w:rsidRPr="006050E6">
        <w:rPr>
          <w:b/>
          <w:i/>
          <w:sz w:val="24"/>
          <w:szCs w:val="24"/>
        </w:rPr>
        <w:t xml:space="preserve"> </w:t>
      </w:r>
    </w:p>
    <w:p w:rsidR="008724BC" w:rsidRPr="006050E6" w:rsidRDefault="008724BC" w:rsidP="00AE6D39">
      <w:pPr>
        <w:spacing w:before="120" w:after="120" w:line="360" w:lineRule="auto"/>
        <w:jc w:val="both"/>
        <w:rPr>
          <w:rFonts w:eastAsiaTheme="minorHAnsi"/>
          <w:sz w:val="24"/>
          <w:szCs w:val="24"/>
        </w:rPr>
      </w:pPr>
      <w:r w:rsidRPr="006050E6">
        <w:rPr>
          <w:rFonts w:eastAsiaTheme="minorHAnsi"/>
          <w:sz w:val="24"/>
          <w:szCs w:val="24"/>
        </w:rPr>
        <w:t xml:space="preserve">The crisis </w:t>
      </w:r>
      <w:r w:rsidR="0072494D">
        <w:rPr>
          <w:rFonts w:eastAsiaTheme="minorHAnsi"/>
          <w:sz w:val="24"/>
          <w:szCs w:val="24"/>
        </w:rPr>
        <w:t xml:space="preserve">has </w:t>
      </w:r>
      <w:r w:rsidRPr="006050E6">
        <w:rPr>
          <w:rFonts w:eastAsiaTheme="minorHAnsi"/>
          <w:sz w:val="24"/>
          <w:szCs w:val="24"/>
        </w:rPr>
        <w:t>had a major impact on investment in the construction sector, although the situation varies considerably within the EU.  Data show that in most countries investment fell sharply in relation to GDP after 2007 and that investment levels remained comparably weak in all countries.</w:t>
      </w:r>
    </w:p>
    <w:p w:rsidR="0072479D" w:rsidRDefault="008724BC" w:rsidP="00AE6D39">
      <w:pPr>
        <w:spacing w:before="120" w:after="120" w:line="360" w:lineRule="auto"/>
        <w:jc w:val="both"/>
        <w:rPr>
          <w:rFonts w:eastAsiaTheme="minorHAnsi"/>
          <w:sz w:val="24"/>
          <w:szCs w:val="24"/>
        </w:rPr>
      </w:pPr>
      <w:r w:rsidRPr="006050E6">
        <w:rPr>
          <w:rFonts w:eastAsiaTheme="minorHAnsi"/>
          <w:sz w:val="24"/>
          <w:szCs w:val="24"/>
        </w:rPr>
        <w:t xml:space="preserve">The European Investment Bank estimates that aggregate investment in Europe is some 15% below pre-crisis levels, with depressed investment in new dwellings and the maintenance and upgrading of infrastructure. In particular, continued underinvestment in infrastructure may constrain growth in the future. </w:t>
      </w:r>
      <w:r w:rsidR="0072494D">
        <w:rPr>
          <w:rFonts w:eastAsiaTheme="minorHAnsi"/>
          <w:sz w:val="24"/>
          <w:szCs w:val="24"/>
        </w:rPr>
        <w:t>I</w:t>
      </w:r>
      <w:r w:rsidR="00AE6D39">
        <w:rPr>
          <w:rFonts w:eastAsiaTheme="minorHAnsi"/>
          <w:sz w:val="24"/>
          <w:szCs w:val="24"/>
        </w:rPr>
        <w:t xml:space="preserve">n many </w:t>
      </w:r>
      <w:r w:rsidRPr="006050E6">
        <w:rPr>
          <w:rFonts w:eastAsiaTheme="minorHAnsi"/>
          <w:sz w:val="24"/>
          <w:szCs w:val="24"/>
        </w:rPr>
        <w:t>Member States the quality of infrastructure is negatively affected by insufficient investments in upgrade and maintenance</w:t>
      </w:r>
      <w:r w:rsidRPr="006050E6">
        <w:rPr>
          <w:rFonts w:eastAsiaTheme="minorHAnsi"/>
          <w:sz w:val="24"/>
          <w:szCs w:val="24"/>
          <w:vertAlign w:val="superscript"/>
        </w:rPr>
        <w:footnoteReference w:id="2"/>
      </w:r>
      <w:r w:rsidR="000C5246">
        <w:rPr>
          <w:rFonts w:eastAsiaTheme="minorHAnsi"/>
          <w:sz w:val="24"/>
          <w:szCs w:val="24"/>
        </w:rPr>
        <w:t xml:space="preserve">, with important knock-on effects on the efficiency of the </w:t>
      </w:r>
      <w:r w:rsidR="00325688">
        <w:rPr>
          <w:rFonts w:eastAsiaTheme="minorHAnsi"/>
          <w:sz w:val="24"/>
          <w:szCs w:val="24"/>
        </w:rPr>
        <w:t>European</w:t>
      </w:r>
      <w:r w:rsidR="000C5246">
        <w:rPr>
          <w:rFonts w:eastAsiaTheme="minorHAnsi"/>
          <w:sz w:val="24"/>
          <w:szCs w:val="24"/>
        </w:rPr>
        <w:t xml:space="preserve"> transport system and industrial competitiveness. </w:t>
      </w:r>
    </w:p>
    <w:p w:rsidR="0072479D" w:rsidRDefault="0072479D">
      <w:pPr>
        <w:rPr>
          <w:rFonts w:eastAsiaTheme="minorHAnsi"/>
          <w:sz w:val="24"/>
          <w:szCs w:val="24"/>
        </w:rPr>
      </w:pPr>
      <w:r>
        <w:rPr>
          <w:rFonts w:eastAsiaTheme="minorHAnsi"/>
          <w:sz w:val="24"/>
          <w:szCs w:val="24"/>
        </w:rPr>
        <w:br w:type="page"/>
      </w:r>
    </w:p>
    <w:p w:rsidR="008724BC" w:rsidRPr="006050E6" w:rsidRDefault="008724BC" w:rsidP="00AE6D39">
      <w:pPr>
        <w:spacing w:before="120" w:after="120" w:line="360" w:lineRule="auto"/>
        <w:jc w:val="both"/>
        <w:rPr>
          <w:rFonts w:eastAsiaTheme="minorHAnsi"/>
          <w:sz w:val="24"/>
          <w:szCs w:val="24"/>
        </w:rPr>
      </w:pPr>
      <w:bookmarkStart w:id="0" w:name="_GoBack"/>
      <w:bookmarkEnd w:id="0"/>
    </w:p>
    <w:p w:rsidR="008724BC" w:rsidRPr="006050E6" w:rsidRDefault="008724BC" w:rsidP="00AE6D39">
      <w:pPr>
        <w:autoSpaceDE w:val="0"/>
        <w:autoSpaceDN w:val="0"/>
        <w:adjustRightInd w:val="0"/>
        <w:spacing w:before="120" w:after="120" w:line="360" w:lineRule="auto"/>
        <w:jc w:val="both"/>
        <w:rPr>
          <w:rFonts w:eastAsiaTheme="minorHAnsi"/>
          <w:sz w:val="24"/>
          <w:szCs w:val="24"/>
        </w:rPr>
      </w:pPr>
      <w:r w:rsidRPr="006050E6">
        <w:rPr>
          <w:rFonts w:eastAsiaTheme="minorHAnsi"/>
          <w:sz w:val="24"/>
          <w:szCs w:val="24"/>
        </w:rPr>
        <w:t xml:space="preserve">The shortfall in investment is not </w:t>
      </w:r>
      <w:r w:rsidR="00247225">
        <w:rPr>
          <w:rFonts w:eastAsiaTheme="minorHAnsi"/>
          <w:sz w:val="24"/>
          <w:szCs w:val="24"/>
        </w:rPr>
        <w:t>due</w:t>
      </w:r>
      <w:r w:rsidRPr="006050E6">
        <w:rPr>
          <w:rFonts w:eastAsiaTheme="minorHAnsi"/>
          <w:sz w:val="24"/>
          <w:szCs w:val="24"/>
        </w:rPr>
        <w:t xml:space="preserve"> to a lack of liquidity but to low investor confidence </w:t>
      </w:r>
      <w:r w:rsidR="00247225">
        <w:rPr>
          <w:rFonts w:eastAsiaTheme="minorHAnsi"/>
          <w:sz w:val="24"/>
          <w:szCs w:val="24"/>
        </w:rPr>
        <w:t>because of</w:t>
      </w:r>
      <w:r w:rsidRPr="006050E6">
        <w:rPr>
          <w:rFonts w:eastAsiaTheme="minorHAnsi"/>
          <w:sz w:val="24"/>
          <w:szCs w:val="24"/>
        </w:rPr>
        <w:t xml:space="preserve"> economic volatility and regulatory uncertainties. Governments can increase funding by raising user charges</w:t>
      </w:r>
      <w:r w:rsidR="00A835EA">
        <w:rPr>
          <w:rFonts w:eastAsiaTheme="minorHAnsi"/>
          <w:sz w:val="24"/>
          <w:szCs w:val="24"/>
        </w:rPr>
        <w:t xml:space="preserve"> </w:t>
      </w:r>
      <w:r w:rsidRPr="006050E6">
        <w:rPr>
          <w:rFonts w:eastAsiaTheme="minorHAnsi"/>
          <w:sz w:val="24"/>
          <w:szCs w:val="24"/>
        </w:rPr>
        <w:t xml:space="preserve">or selling existing assets and </w:t>
      </w:r>
      <w:r w:rsidR="0072494D">
        <w:rPr>
          <w:rFonts w:eastAsiaTheme="minorHAnsi"/>
          <w:sz w:val="24"/>
          <w:szCs w:val="24"/>
        </w:rPr>
        <w:t>using</w:t>
      </w:r>
      <w:r w:rsidRPr="006050E6">
        <w:rPr>
          <w:rFonts w:eastAsiaTheme="minorHAnsi"/>
          <w:sz w:val="24"/>
          <w:szCs w:val="24"/>
        </w:rPr>
        <w:t xml:space="preserve"> the proceeds for new infrastructure</w:t>
      </w:r>
      <w:r w:rsidR="0072494D">
        <w:rPr>
          <w:rFonts w:eastAsiaTheme="minorHAnsi"/>
          <w:sz w:val="24"/>
          <w:szCs w:val="24"/>
        </w:rPr>
        <w:t>s</w:t>
      </w:r>
      <w:r w:rsidRPr="006050E6">
        <w:rPr>
          <w:rFonts w:eastAsiaTheme="minorHAnsi"/>
          <w:sz w:val="24"/>
          <w:szCs w:val="24"/>
        </w:rPr>
        <w:t xml:space="preserve">. Public-private partnerships have </w:t>
      </w:r>
      <w:r w:rsidR="0072494D">
        <w:rPr>
          <w:rFonts w:eastAsiaTheme="minorHAnsi"/>
          <w:sz w:val="24"/>
          <w:szCs w:val="24"/>
        </w:rPr>
        <w:t>taken on</w:t>
      </w:r>
      <w:r w:rsidRPr="006050E6">
        <w:rPr>
          <w:rFonts w:eastAsiaTheme="minorHAnsi"/>
          <w:sz w:val="24"/>
          <w:szCs w:val="24"/>
        </w:rPr>
        <w:t xml:space="preserve"> a greater role in infrastructure and will continue to be an important sou</w:t>
      </w:r>
      <w:r w:rsidR="00CB0001">
        <w:rPr>
          <w:rFonts w:eastAsiaTheme="minorHAnsi"/>
          <w:sz w:val="24"/>
          <w:szCs w:val="24"/>
        </w:rPr>
        <w:t>rce of financing in the future.</w:t>
      </w:r>
      <w:r w:rsidRPr="006050E6">
        <w:rPr>
          <w:rFonts w:eastAsiaTheme="minorHAnsi"/>
          <w:sz w:val="24"/>
          <w:szCs w:val="24"/>
          <w:vertAlign w:val="superscript"/>
        </w:rPr>
        <w:footnoteReference w:id="3"/>
      </w:r>
    </w:p>
    <w:p w:rsidR="008724BC" w:rsidRPr="006050E6" w:rsidRDefault="008724BC" w:rsidP="00AE6D39">
      <w:pPr>
        <w:spacing w:before="120" w:after="120" w:line="360" w:lineRule="auto"/>
        <w:jc w:val="both"/>
        <w:rPr>
          <w:rFonts w:eastAsiaTheme="minorHAnsi"/>
          <w:sz w:val="24"/>
          <w:szCs w:val="24"/>
        </w:rPr>
      </w:pPr>
      <w:r w:rsidRPr="006050E6">
        <w:rPr>
          <w:rFonts w:eastAsiaTheme="minorHAnsi"/>
          <w:sz w:val="24"/>
          <w:szCs w:val="24"/>
        </w:rPr>
        <w:t>The need to boost infrastructure investment has been recognised by the EU</w:t>
      </w:r>
      <w:r w:rsidR="0072494D">
        <w:rPr>
          <w:rFonts w:eastAsiaTheme="minorHAnsi"/>
          <w:sz w:val="24"/>
          <w:szCs w:val="24"/>
        </w:rPr>
        <w:t>, which has</w:t>
      </w:r>
      <w:r w:rsidRPr="006050E6">
        <w:rPr>
          <w:rFonts w:eastAsiaTheme="minorHAnsi"/>
          <w:sz w:val="24"/>
          <w:szCs w:val="24"/>
        </w:rPr>
        <w:t xml:space="preserve"> launched the European Fund for Strategic Investments (EFSI) to leverage private finance and provide additional risk-financing for </w:t>
      </w:r>
      <w:r w:rsidR="00EE5A5B">
        <w:rPr>
          <w:rFonts w:eastAsiaTheme="minorHAnsi"/>
          <w:sz w:val="24"/>
          <w:szCs w:val="24"/>
        </w:rPr>
        <w:t xml:space="preserve">high-risk </w:t>
      </w:r>
      <w:r w:rsidR="0072303B">
        <w:rPr>
          <w:rFonts w:eastAsiaTheme="minorHAnsi"/>
          <w:sz w:val="24"/>
          <w:szCs w:val="24"/>
        </w:rPr>
        <w:t>projects</w:t>
      </w:r>
      <w:r w:rsidRPr="006050E6">
        <w:rPr>
          <w:rFonts w:eastAsiaTheme="minorHAnsi"/>
          <w:sz w:val="24"/>
          <w:szCs w:val="24"/>
        </w:rPr>
        <w:t>.</w:t>
      </w:r>
    </w:p>
    <w:p w:rsidR="008724BC" w:rsidRPr="006050E6" w:rsidRDefault="008724BC" w:rsidP="00AE6D39">
      <w:pPr>
        <w:spacing w:before="120" w:after="120" w:line="360" w:lineRule="auto"/>
        <w:jc w:val="both"/>
        <w:rPr>
          <w:rFonts w:eastAsiaTheme="minorHAnsi"/>
          <w:sz w:val="24"/>
          <w:szCs w:val="24"/>
        </w:rPr>
      </w:pPr>
      <w:r w:rsidRPr="006050E6">
        <w:rPr>
          <w:rFonts w:eastAsiaTheme="minorHAnsi"/>
          <w:sz w:val="24"/>
          <w:szCs w:val="24"/>
        </w:rPr>
        <w:t xml:space="preserve">Financial instruments need to be made more attractive for new private investors. This could be </w:t>
      </w:r>
      <w:r w:rsidR="00E00E49">
        <w:rPr>
          <w:rFonts w:eastAsiaTheme="minorHAnsi"/>
          <w:sz w:val="24"/>
          <w:szCs w:val="24"/>
        </w:rPr>
        <w:t>achieved</w:t>
      </w:r>
      <w:r w:rsidRPr="006050E6">
        <w:rPr>
          <w:rFonts w:eastAsiaTheme="minorHAnsi"/>
          <w:sz w:val="24"/>
          <w:szCs w:val="24"/>
        </w:rPr>
        <w:t xml:space="preserve"> by standardised financial products which </w:t>
      </w:r>
      <w:r w:rsidR="00EE5A5B">
        <w:rPr>
          <w:rFonts w:eastAsiaTheme="minorHAnsi"/>
          <w:sz w:val="24"/>
          <w:szCs w:val="24"/>
        </w:rPr>
        <w:t xml:space="preserve">increase the transparency of </w:t>
      </w:r>
      <w:r w:rsidRPr="006050E6">
        <w:rPr>
          <w:rFonts w:eastAsiaTheme="minorHAnsi"/>
          <w:sz w:val="24"/>
          <w:szCs w:val="24"/>
        </w:rPr>
        <w:t xml:space="preserve">reporting and compliance systems. </w:t>
      </w:r>
    </w:p>
    <w:p w:rsidR="008724BC" w:rsidRPr="006050E6" w:rsidRDefault="008724BC" w:rsidP="002120C8">
      <w:pPr>
        <w:spacing w:before="120" w:after="120" w:line="360" w:lineRule="auto"/>
        <w:jc w:val="both"/>
        <w:rPr>
          <w:rFonts w:eastAsiaTheme="minorHAnsi"/>
          <w:sz w:val="24"/>
          <w:szCs w:val="24"/>
        </w:rPr>
      </w:pPr>
      <w:r w:rsidRPr="006050E6">
        <w:rPr>
          <w:rFonts w:eastAsiaTheme="minorHAnsi"/>
          <w:sz w:val="24"/>
          <w:szCs w:val="24"/>
        </w:rPr>
        <w:t xml:space="preserve">Regarding buildings, investor knowledge </w:t>
      </w:r>
      <w:r w:rsidR="00E00E49" w:rsidRPr="006050E6">
        <w:rPr>
          <w:rFonts w:eastAsiaTheme="minorHAnsi"/>
          <w:sz w:val="24"/>
          <w:szCs w:val="24"/>
        </w:rPr>
        <w:t>o</w:t>
      </w:r>
      <w:r w:rsidR="00E00E49">
        <w:rPr>
          <w:rFonts w:eastAsiaTheme="minorHAnsi"/>
          <w:sz w:val="24"/>
          <w:szCs w:val="24"/>
        </w:rPr>
        <w:t>f</w:t>
      </w:r>
      <w:r w:rsidR="00E00E49" w:rsidRPr="006050E6">
        <w:rPr>
          <w:rFonts w:eastAsiaTheme="minorHAnsi"/>
          <w:sz w:val="24"/>
          <w:szCs w:val="24"/>
        </w:rPr>
        <w:t xml:space="preserve"> long-term risks and </w:t>
      </w:r>
      <w:r w:rsidR="002120C8">
        <w:rPr>
          <w:rFonts w:eastAsiaTheme="minorHAnsi"/>
          <w:sz w:val="24"/>
          <w:szCs w:val="24"/>
        </w:rPr>
        <w:t xml:space="preserve">the </w:t>
      </w:r>
      <w:r w:rsidR="00E00E49" w:rsidRPr="006050E6">
        <w:rPr>
          <w:rFonts w:eastAsiaTheme="minorHAnsi"/>
          <w:sz w:val="24"/>
          <w:szCs w:val="24"/>
        </w:rPr>
        <w:t xml:space="preserve">benefits of investment projects </w:t>
      </w:r>
      <w:r w:rsidRPr="006050E6">
        <w:rPr>
          <w:rFonts w:eastAsiaTheme="minorHAnsi"/>
          <w:sz w:val="24"/>
          <w:szCs w:val="24"/>
        </w:rPr>
        <w:t xml:space="preserve">needs to be improved, for example by access to reliable and verifiable information on sustainability. </w:t>
      </w:r>
      <w:r w:rsidR="00E00E49">
        <w:rPr>
          <w:rFonts w:eastAsiaTheme="minorHAnsi"/>
          <w:sz w:val="24"/>
          <w:szCs w:val="24"/>
        </w:rPr>
        <w:t>Several</w:t>
      </w:r>
      <w:r w:rsidRPr="006050E6">
        <w:rPr>
          <w:rFonts w:eastAsiaTheme="minorHAnsi"/>
          <w:sz w:val="24"/>
          <w:szCs w:val="24"/>
        </w:rPr>
        <w:t xml:space="preserve"> national and local schemes have tried to provide such guidance to individual home owners already. For example, in the Czech Republic a simple and clear calculation tool was developed for non-professional users under the state programme EFEKT to verify the quality of issued Energy Performance Certificates in case of doubts. </w:t>
      </w:r>
      <w:r w:rsidR="00E00E49">
        <w:rPr>
          <w:rFonts w:eastAsiaTheme="minorHAnsi"/>
          <w:sz w:val="24"/>
          <w:szCs w:val="24"/>
        </w:rPr>
        <w:t xml:space="preserve">In Denmark, </w:t>
      </w:r>
      <w:r w:rsidRPr="006050E6">
        <w:rPr>
          <w:rFonts w:eastAsiaTheme="minorHAnsi"/>
          <w:sz w:val="24"/>
          <w:szCs w:val="24"/>
        </w:rPr>
        <w:t>“Better Home” is a new scheme started in 2014 to create a “one stop shop” for energy renovation. Private home owner</w:t>
      </w:r>
      <w:r w:rsidR="00E00E49">
        <w:rPr>
          <w:rFonts w:eastAsiaTheme="minorHAnsi"/>
          <w:sz w:val="24"/>
          <w:szCs w:val="24"/>
        </w:rPr>
        <w:t>s</w:t>
      </w:r>
      <w:r w:rsidRPr="006050E6">
        <w:rPr>
          <w:rFonts w:eastAsiaTheme="minorHAnsi"/>
          <w:sz w:val="24"/>
          <w:szCs w:val="24"/>
        </w:rPr>
        <w:t xml:space="preserve"> can get advise from </w:t>
      </w:r>
      <w:r w:rsidR="00EE5A5B">
        <w:rPr>
          <w:rFonts w:eastAsiaTheme="minorHAnsi"/>
          <w:sz w:val="24"/>
          <w:szCs w:val="24"/>
        </w:rPr>
        <w:t>a</w:t>
      </w:r>
      <w:r w:rsidR="00E00E49">
        <w:rPr>
          <w:rFonts w:eastAsiaTheme="minorHAnsi"/>
          <w:sz w:val="24"/>
          <w:szCs w:val="24"/>
        </w:rPr>
        <w:t xml:space="preserve"> single</w:t>
      </w:r>
      <w:r w:rsidRPr="006050E6">
        <w:rPr>
          <w:rFonts w:eastAsiaTheme="minorHAnsi"/>
          <w:sz w:val="24"/>
          <w:szCs w:val="24"/>
        </w:rPr>
        <w:t xml:space="preserve"> certified advisor who follow</w:t>
      </w:r>
      <w:r w:rsidR="00E00E49">
        <w:rPr>
          <w:rFonts w:eastAsiaTheme="minorHAnsi"/>
          <w:sz w:val="24"/>
          <w:szCs w:val="24"/>
        </w:rPr>
        <w:t>s</w:t>
      </w:r>
      <w:r w:rsidRPr="006050E6">
        <w:rPr>
          <w:rFonts w:eastAsiaTheme="minorHAnsi"/>
          <w:sz w:val="24"/>
          <w:szCs w:val="24"/>
        </w:rPr>
        <w:t xml:space="preserve"> the project all the way from design to completed renovation.   </w:t>
      </w:r>
    </w:p>
    <w:p w:rsidR="008724BC" w:rsidRDefault="008724BC" w:rsidP="00AE6D39">
      <w:pPr>
        <w:spacing w:before="120" w:after="120" w:line="360" w:lineRule="auto"/>
        <w:jc w:val="both"/>
        <w:rPr>
          <w:rFonts w:eastAsiaTheme="minorHAnsi"/>
          <w:sz w:val="24"/>
          <w:szCs w:val="24"/>
        </w:rPr>
      </w:pPr>
      <w:r w:rsidRPr="006050E6">
        <w:rPr>
          <w:rFonts w:eastAsiaTheme="minorHAnsi"/>
          <w:sz w:val="24"/>
          <w:szCs w:val="24"/>
        </w:rPr>
        <w:t>Another approach is for construction firms and installers, or intermediaries like utility companies, to take on some of the risks that would otherwise fall on the property owner or user by recovering the cost of renovation or retrofitting improvements out of future savings in utility bills.</w:t>
      </w:r>
    </w:p>
    <w:p w:rsidR="00183624" w:rsidRPr="006050E6" w:rsidRDefault="00183624" w:rsidP="00AE6D39">
      <w:pPr>
        <w:spacing w:before="120" w:after="120" w:line="360" w:lineRule="auto"/>
        <w:jc w:val="both"/>
        <w:rPr>
          <w:rFonts w:eastAsiaTheme="minorHAnsi"/>
          <w:sz w:val="24"/>
          <w:szCs w:val="24"/>
        </w:rPr>
      </w:pPr>
    </w:p>
    <w:p w:rsidR="008724BC" w:rsidRPr="008724BC" w:rsidRDefault="008724BC" w:rsidP="00AE6D39">
      <w:pPr>
        <w:spacing w:before="120" w:after="120" w:line="360" w:lineRule="auto"/>
        <w:jc w:val="both"/>
        <w:rPr>
          <w:b/>
          <w:i/>
          <w:sz w:val="24"/>
          <w:szCs w:val="24"/>
        </w:rPr>
      </w:pPr>
      <w:r w:rsidRPr="008724BC">
        <w:rPr>
          <w:b/>
          <w:i/>
          <w:sz w:val="24"/>
          <w:szCs w:val="24"/>
        </w:rPr>
        <w:t xml:space="preserve">2. </w:t>
      </w:r>
      <w:r w:rsidR="00EE5A5B">
        <w:rPr>
          <w:b/>
          <w:i/>
          <w:sz w:val="24"/>
          <w:szCs w:val="24"/>
        </w:rPr>
        <w:t>T</w:t>
      </w:r>
      <w:r w:rsidRPr="008724BC">
        <w:rPr>
          <w:b/>
          <w:i/>
          <w:sz w:val="24"/>
          <w:szCs w:val="24"/>
        </w:rPr>
        <w:t>he value chain</w:t>
      </w:r>
    </w:p>
    <w:p w:rsidR="008724BC" w:rsidRPr="006050E6" w:rsidRDefault="008724BC" w:rsidP="002120C8">
      <w:pPr>
        <w:spacing w:before="120" w:after="120" w:line="360" w:lineRule="auto"/>
        <w:jc w:val="both"/>
        <w:rPr>
          <w:sz w:val="24"/>
          <w:szCs w:val="24"/>
        </w:rPr>
      </w:pPr>
      <w:r w:rsidRPr="006050E6">
        <w:rPr>
          <w:sz w:val="24"/>
          <w:szCs w:val="24"/>
        </w:rPr>
        <w:t>Despite the economic downturn, the cost of residential construction ha</w:t>
      </w:r>
      <w:r w:rsidR="002120C8">
        <w:rPr>
          <w:sz w:val="24"/>
          <w:szCs w:val="24"/>
        </w:rPr>
        <w:t>s</w:t>
      </w:r>
      <w:r w:rsidRPr="006050E6">
        <w:rPr>
          <w:sz w:val="24"/>
          <w:szCs w:val="24"/>
        </w:rPr>
        <w:t xml:space="preserve"> steadily increas</w:t>
      </w:r>
      <w:r w:rsidR="00E00E49">
        <w:rPr>
          <w:sz w:val="24"/>
          <w:szCs w:val="24"/>
        </w:rPr>
        <w:t>ed,</w:t>
      </w:r>
      <w:r w:rsidR="0072303B">
        <w:rPr>
          <w:sz w:val="24"/>
          <w:szCs w:val="24"/>
        </w:rPr>
        <w:t xml:space="preserve"> including materials, labour</w:t>
      </w:r>
      <w:r w:rsidRPr="006050E6">
        <w:rPr>
          <w:sz w:val="24"/>
          <w:szCs w:val="24"/>
        </w:rPr>
        <w:t xml:space="preserve"> and equipment, transport and energy. For example, Spanish </w:t>
      </w:r>
      <w:r w:rsidRPr="006050E6">
        <w:rPr>
          <w:sz w:val="24"/>
          <w:szCs w:val="24"/>
        </w:rPr>
        <w:lastRenderedPageBreak/>
        <w:t xml:space="preserve">material and labour costs increased by 12.8% from 2007 to 2014. In Germany, </w:t>
      </w:r>
      <w:r w:rsidR="00E00E49">
        <w:rPr>
          <w:sz w:val="24"/>
          <w:szCs w:val="24"/>
        </w:rPr>
        <w:t xml:space="preserve">construction </w:t>
      </w:r>
      <w:r w:rsidRPr="006050E6">
        <w:rPr>
          <w:sz w:val="24"/>
          <w:szCs w:val="24"/>
        </w:rPr>
        <w:t>cost</w:t>
      </w:r>
      <w:r w:rsidR="00E00E49">
        <w:rPr>
          <w:sz w:val="24"/>
          <w:szCs w:val="24"/>
        </w:rPr>
        <w:t>s</w:t>
      </w:r>
      <w:r w:rsidRPr="006050E6">
        <w:rPr>
          <w:sz w:val="24"/>
          <w:szCs w:val="24"/>
        </w:rPr>
        <w:t xml:space="preserve"> </w:t>
      </w:r>
      <w:r w:rsidR="00E00E49">
        <w:rPr>
          <w:sz w:val="24"/>
          <w:szCs w:val="24"/>
        </w:rPr>
        <w:t xml:space="preserve">have risen </w:t>
      </w:r>
      <w:r w:rsidRPr="006050E6">
        <w:rPr>
          <w:sz w:val="24"/>
          <w:szCs w:val="24"/>
        </w:rPr>
        <w:t>by 10% between 2008 and 2012.</w:t>
      </w:r>
    </w:p>
    <w:p w:rsidR="008724BC" w:rsidRPr="006050E6" w:rsidRDefault="000C5246" w:rsidP="00AE6D39">
      <w:pPr>
        <w:spacing w:before="120" w:after="120" w:line="360" w:lineRule="auto"/>
        <w:jc w:val="both"/>
        <w:rPr>
          <w:sz w:val="24"/>
          <w:szCs w:val="24"/>
        </w:rPr>
      </w:pPr>
      <w:r>
        <w:rPr>
          <w:sz w:val="24"/>
          <w:szCs w:val="24"/>
        </w:rPr>
        <w:t>P</w:t>
      </w:r>
      <w:r w:rsidR="008724BC" w:rsidRPr="006050E6">
        <w:rPr>
          <w:sz w:val="24"/>
          <w:szCs w:val="24"/>
        </w:rPr>
        <w:t xml:space="preserve">roductivity levels in construction products manufacturing and contractors are still below pre-crisis levels. </w:t>
      </w:r>
      <w:r>
        <w:rPr>
          <w:sz w:val="24"/>
          <w:szCs w:val="24"/>
        </w:rPr>
        <w:t xml:space="preserve">Given the weight of construction in the overall economy, this is an important issue. </w:t>
      </w:r>
      <w:r w:rsidR="008724BC" w:rsidRPr="006050E6">
        <w:rPr>
          <w:sz w:val="24"/>
          <w:szCs w:val="24"/>
        </w:rPr>
        <w:t>While labour market rigidities prevent sector adjustments in some Member</w:t>
      </w:r>
      <w:r w:rsidR="0072303B">
        <w:rPr>
          <w:sz w:val="24"/>
          <w:szCs w:val="24"/>
        </w:rPr>
        <w:t xml:space="preserve"> States, another reason is that</w:t>
      </w:r>
      <w:r w:rsidR="00E00E49">
        <w:rPr>
          <w:sz w:val="24"/>
          <w:szCs w:val="24"/>
        </w:rPr>
        <w:t>, generally speaking,</w:t>
      </w:r>
      <w:r w:rsidR="008724BC" w:rsidRPr="006050E6">
        <w:rPr>
          <w:sz w:val="24"/>
          <w:szCs w:val="24"/>
        </w:rPr>
        <w:t xml:space="preserve"> construction still relies on working methods that have been used for </w:t>
      </w:r>
      <w:r w:rsidR="00E00E49">
        <w:rPr>
          <w:sz w:val="24"/>
          <w:szCs w:val="24"/>
        </w:rPr>
        <w:t xml:space="preserve">many </w:t>
      </w:r>
      <w:r w:rsidR="008724BC" w:rsidRPr="006050E6">
        <w:rPr>
          <w:sz w:val="24"/>
          <w:szCs w:val="24"/>
        </w:rPr>
        <w:t xml:space="preserve">decades. </w:t>
      </w:r>
    </w:p>
    <w:p w:rsidR="008724BC" w:rsidRPr="006050E6" w:rsidRDefault="008724BC" w:rsidP="00AE6D39">
      <w:pPr>
        <w:spacing w:before="120" w:after="120" w:line="360" w:lineRule="auto"/>
        <w:jc w:val="both"/>
        <w:rPr>
          <w:sz w:val="24"/>
          <w:szCs w:val="24"/>
        </w:rPr>
      </w:pPr>
      <w:r w:rsidRPr="006050E6">
        <w:rPr>
          <w:sz w:val="24"/>
          <w:szCs w:val="24"/>
        </w:rPr>
        <w:t xml:space="preserve">A radical </w:t>
      </w:r>
      <w:r w:rsidR="00E00E49">
        <w:rPr>
          <w:sz w:val="24"/>
          <w:szCs w:val="24"/>
        </w:rPr>
        <w:t>change of</w:t>
      </w:r>
      <w:r w:rsidRPr="006050E6">
        <w:rPr>
          <w:sz w:val="24"/>
          <w:szCs w:val="24"/>
        </w:rPr>
        <w:t xml:space="preserve"> production methods and organisation is needed to modernise the sector and </w:t>
      </w:r>
      <w:r w:rsidR="00E00E49">
        <w:rPr>
          <w:sz w:val="24"/>
          <w:szCs w:val="24"/>
        </w:rPr>
        <w:t xml:space="preserve">adjust it </w:t>
      </w:r>
      <w:r w:rsidRPr="006050E6">
        <w:rPr>
          <w:sz w:val="24"/>
          <w:szCs w:val="24"/>
        </w:rPr>
        <w:t xml:space="preserve">to </w:t>
      </w:r>
      <w:r w:rsidR="00E00E49">
        <w:rPr>
          <w:sz w:val="24"/>
          <w:szCs w:val="24"/>
        </w:rPr>
        <w:t>respond</w:t>
      </w:r>
      <w:r w:rsidR="00AE6D39">
        <w:rPr>
          <w:sz w:val="24"/>
          <w:szCs w:val="24"/>
        </w:rPr>
        <w:t xml:space="preserve"> both today</w:t>
      </w:r>
      <w:r w:rsidR="000C5246">
        <w:rPr>
          <w:sz w:val="24"/>
          <w:szCs w:val="24"/>
        </w:rPr>
        <w:t>'</w:t>
      </w:r>
      <w:r w:rsidRPr="006050E6">
        <w:rPr>
          <w:sz w:val="24"/>
          <w:szCs w:val="24"/>
        </w:rPr>
        <w:t xml:space="preserve">s and tomorrow's </w:t>
      </w:r>
      <w:r w:rsidR="00E00E49">
        <w:rPr>
          <w:sz w:val="24"/>
          <w:szCs w:val="24"/>
        </w:rPr>
        <w:t xml:space="preserve">building </w:t>
      </w:r>
      <w:r w:rsidRPr="006050E6">
        <w:rPr>
          <w:sz w:val="24"/>
          <w:szCs w:val="24"/>
        </w:rPr>
        <w:t xml:space="preserve">trends. </w:t>
      </w:r>
      <w:r w:rsidR="00EE5A5B">
        <w:rPr>
          <w:sz w:val="24"/>
          <w:szCs w:val="24"/>
        </w:rPr>
        <w:t>At present</w:t>
      </w:r>
      <w:r w:rsidR="00E00E49">
        <w:rPr>
          <w:sz w:val="24"/>
          <w:szCs w:val="24"/>
        </w:rPr>
        <w:t>,</w:t>
      </w:r>
      <w:r w:rsidRPr="006050E6">
        <w:rPr>
          <w:sz w:val="24"/>
          <w:szCs w:val="24"/>
        </w:rPr>
        <w:t xml:space="preserve"> this </w:t>
      </w:r>
      <w:r w:rsidR="00EE5A5B">
        <w:rPr>
          <w:sz w:val="24"/>
          <w:szCs w:val="24"/>
        </w:rPr>
        <w:t>is</w:t>
      </w:r>
      <w:r w:rsidRPr="006050E6">
        <w:rPr>
          <w:sz w:val="24"/>
          <w:szCs w:val="24"/>
        </w:rPr>
        <w:t xml:space="preserve"> the transition to a low</w:t>
      </w:r>
      <w:r w:rsidR="0072303B">
        <w:rPr>
          <w:sz w:val="24"/>
          <w:szCs w:val="24"/>
        </w:rPr>
        <w:t>-</w:t>
      </w:r>
      <w:r w:rsidRPr="006050E6">
        <w:rPr>
          <w:sz w:val="24"/>
          <w:szCs w:val="24"/>
        </w:rPr>
        <w:t>carbon economy</w:t>
      </w:r>
      <w:r w:rsidR="00E00E49">
        <w:rPr>
          <w:sz w:val="24"/>
          <w:szCs w:val="24"/>
        </w:rPr>
        <w:t>,</w:t>
      </w:r>
      <w:r w:rsidRPr="006050E6">
        <w:rPr>
          <w:sz w:val="24"/>
          <w:szCs w:val="24"/>
        </w:rPr>
        <w:t xml:space="preserve"> but </w:t>
      </w:r>
      <w:r w:rsidR="00EE5A5B">
        <w:rPr>
          <w:sz w:val="24"/>
          <w:szCs w:val="24"/>
        </w:rPr>
        <w:t xml:space="preserve">the </w:t>
      </w:r>
      <w:r w:rsidRPr="006050E6">
        <w:rPr>
          <w:sz w:val="24"/>
          <w:szCs w:val="24"/>
        </w:rPr>
        <w:t xml:space="preserve">future </w:t>
      </w:r>
      <w:r w:rsidR="00E00E49">
        <w:rPr>
          <w:sz w:val="24"/>
          <w:szCs w:val="24"/>
        </w:rPr>
        <w:t xml:space="preserve">will </w:t>
      </w:r>
      <w:r w:rsidR="00EE5A5B">
        <w:rPr>
          <w:sz w:val="24"/>
          <w:szCs w:val="24"/>
        </w:rPr>
        <w:t>bring</w:t>
      </w:r>
      <w:r w:rsidRPr="006050E6">
        <w:rPr>
          <w:sz w:val="24"/>
          <w:szCs w:val="24"/>
        </w:rPr>
        <w:t xml:space="preserve"> demographic and social change</w:t>
      </w:r>
      <w:r w:rsidR="00EE5A5B">
        <w:rPr>
          <w:sz w:val="24"/>
          <w:szCs w:val="24"/>
        </w:rPr>
        <w:t>s</w:t>
      </w:r>
      <w:r w:rsidRPr="006050E6">
        <w:rPr>
          <w:sz w:val="24"/>
          <w:szCs w:val="24"/>
        </w:rPr>
        <w:t>, scarcity</w:t>
      </w:r>
      <w:r w:rsidR="00EE5A5B">
        <w:rPr>
          <w:sz w:val="24"/>
          <w:szCs w:val="24"/>
        </w:rPr>
        <w:t xml:space="preserve"> of resources</w:t>
      </w:r>
      <w:r w:rsidRPr="006050E6">
        <w:rPr>
          <w:sz w:val="24"/>
          <w:szCs w:val="24"/>
        </w:rPr>
        <w:t xml:space="preserve">, </w:t>
      </w:r>
      <w:r w:rsidR="00EE5A5B">
        <w:rPr>
          <w:sz w:val="24"/>
          <w:szCs w:val="24"/>
        </w:rPr>
        <w:t>and</w:t>
      </w:r>
      <w:r w:rsidRPr="006050E6">
        <w:rPr>
          <w:sz w:val="24"/>
          <w:szCs w:val="24"/>
        </w:rPr>
        <w:t xml:space="preserve"> urban redevelopment. In this context, a modern construction sector must be fit </w:t>
      </w:r>
      <w:r w:rsidR="00E00E49">
        <w:rPr>
          <w:sz w:val="24"/>
          <w:szCs w:val="24"/>
        </w:rPr>
        <w:t xml:space="preserve">for purpose </w:t>
      </w:r>
      <w:r w:rsidRPr="006050E6">
        <w:rPr>
          <w:sz w:val="24"/>
          <w:szCs w:val="24"/>
        </w:rPr>
        <w:t xml:space="preserve">and able to deliver building and infrastructure solutions that </w:t>
      </w:r>
      <w:r w:rsidR="00EE5A5B">
        <w:rPr>
          <w:sz w:val="24"/>
          <w:szCs w:val="24"/>
        </w:rPr>
        <w:t>meet</w:t>
      </w:r>
      <w:r w:rsidRPr="006050E6">
        <w:rPr>
          <w:sz w:val="24"/>
          <w:szCs w:val="24"/>
        </w:rPr>
        <w:t xml:space="preserve"> these trends and </w:t>
      </w:r>
      <w:r w:rsidR="00EE5A5B">
        <w:rPr>
          <w:sz w:val="24"/>
          <w:szCs w:val="24"/>
        </w:rPr>
        <w:t xml:space="preserve">the </w:t>
      </w:r>
      <w:r w:rsidRPr="006050E6">
        <w:rPr>
          <w:sz w:val="24"/>
          <w:szCs w:val="24"/>
        </w:rPr>
        <w:t xml:space="preserve">technological requirements of </w:t>
      </w:r>
      <w:r w:rsidR="00EE5A5B">
        <w:rPr>
          <w:sz w:val="24"/>
          <w:szCs w:val="24"/>
        </w:rPr>
        <w:t>end</w:t>
      </w:r>
      <w:r w:rsidRPr="006050E6">
        <w:rPr>
          <w:sz w:val="24"/>
          <w:szCs w:val="24"/>
        </w:rPr>
        <w:t xml:space="preserve"> users.</w:t>
      </w:r>
    </w:p>
    <w:p w:rsidR="008724BC" w:rsidRPr="006050E6" w:rsidRDefault="008724BC" w:rsidP="00AE6D39">
      <w:pPr>
        <w:spacing w:before="120" w:after="120" w:line="360" w:lineRule="auto"/>
        <w:jc w:val="both"/>
        <w:rPr>
          <w:sz w:val="24"/>
          <w:szCs w:val="24"/>
        </w:rPr>
      </w:pPr>
      <w:r w:rsidRPr="006050E6">
        <w:rPr>
          <w:sz w:val="24"/>
          <w:szCs w:val="24"/>
        </w:rPr>
        <w:t xml:space="preserve">While change will need to </w:t>
      </w:r>
      <w:r w:rsidR="00EE5A5B">
        <w:rPr>
          <w:sz w:val="24"/>
          <w:szCs w:val="24"/>
        </w:rPr>
        <w:t xml:space="preserve">come </w:t>
      </w:r>
      <w:r w:rsidRPr="006050E6">
        <w:rPr>
          <w:sz w:val="24"/>
          <w:szCs w:val="24"/>
        </w:rPr>
        <w:t xml:space="preserve">from industry itself, policy makers </w:t>
      </w:r>
      <w:r w:rsidR="00E00E49">
        <w:rPr>
          <w:sz w:val="24"/>
          <w:szCs w:val="24"/>
        </w:rPr>
        <w:t>should</w:t>
      </w:r>
      <w:r w:rsidRPr="006050E6">
        <w:rPr>
          <w:sz w:val="24"/>
          <w:szCs w:val="24"/>
        </w:rPr>
        <w:t xml:space="preserve"> ensure the right framework and support mechanisms are in place.</w:t>
      </w:r>
    </w:p>
    <w:p w:rsidR="008724BC" w:rsidRPr="006050E6" w:rsidRDefault="008724BC" w:rsidP="00AE6D39">
      <w:pPr>
        <w:spacing w:before="120" w:after="120" w:line="360" w:lineRule="auto"/>
        <w:jc w:val="both"/>
        <w:rPr>
          <w:sz w:val="24"/>
          <w:szCs w:val="24"/>
        </w:rPr>
      </w:pPr>
      <w:r w:rsidRPr="006050E6">
        <w:rPr>
          <w:sz w:val="24"/>
          <w:szCs w:val="24"/>
        </w:rPr>
        <w:t>The solutions to these two challenges go hand-in-hand and will have to address competitiveness and sustainability goals</w:t>
      </w:r>
      <w:r w:rsidR="00E00E49" w:rsidRPr="00E00E49">
        <w:rPr>
          <w:sz w:val="24"/>
          <w:szCs w:val="24"/>
        </w:rPr>
        <w:t xml:space="preserve"> </w:t>
      </w:r>
      <w:r w:rsidR="00E00E49" w:rsidRPr="006050E6">
        <w:rPr>
          <w:sz w:val="24"/>
          <w:szCs w:val="24"/>
        </w:rPr>
        <w:t>simultaneously and coherently</w:t>
      </w:r>
      <w:r w:rsidRPr="006050E6">
        <w:rPr>
          <w:sz w:val="24"/>
          <w:szCs w:val="24"/>
        </w:rPr>
        <w:t xml:space="preserve">. Among the many potential vectors for change, there are three that stand out: </w:t>
      </w:r>
    </w:p>
    <w:p w:rsidR="008724BC" w:rsidRPr="006050E6" w:rsidRDefault="008724BC" w:rsidP="00AE6D39">
      <w:pPr>
        <w:numPr>
          <w:ilvl w:val="0"/>
          <w:numId w:val="1"/>
        </w:numPr>
        <w:spacing w:before="120" w:after="120" w:line="360" w:lineRule="auto"/>
        <w:ind w:left="714" w:hanging="357"/>
        <w:jc w:val="both"/>
        <w:rPr>
          <w:sz w:val="24"/>
          <w:szCs w:val="24"/>
        </w:rPr>
      </w:pPr>
      <w:r w:rsidRPr="006050E6">
        <w:rPr>
          <w:b/>
          <w:i/>
          <w:sz w:val="24"/>
          <w:szCs w:val="24"/>
        </w:rPr>
        <w:t>Industrialisation:</w:t>
      </w:r>
      <w:r w:rsidRPr="006050E6">
        <w:rPr>
          <w:sz w:val="24"/>
          <w:szCs w:val="24"/>
        </w:rPr>
        <w:t xml:space="preserve"> efforts to optimise construction work processes in order to raise cost efficiency, productivity and quality. </w:t>
      </w:r>
      <w:r w:rsidR="00BD418B">
        <w:rPr>
          <w:sz w:val="24"/>
          <w:szCs w:val="24"/>
        </w:rPr>
        <w:t>This</w:t>
      </w:r>
      <w:r w:rsidRPr="006050E6">
        <w:rPr>
          <w:sz w:val="24"/>
          <w:szCs w:val="24"/>
        </w:rPr>
        <w:t xml:space="preserve"> </w:t>
      </w:r>
      <w:r w:rsidR="00BD418B">
        <w:rPr>
          <w:sz w:val="24"/>
          <w:szCs w:val="24"/>
        </w:rPr>
        <w:t>should also</w:t>
      </w:r>
      <w:r w:rsidRPr="006050E6">
        <w:rPr>
          <w:sz w:val="24"/>
          <w:szCs w:val="24"/>
        </w:rPr>
        <w:t xml:space="preserve"> cover the renovation of buildings, particularly in terms of greater needs for customisation and prefabrication. </w:t>
      </w:r>
    </w:p>
    <w:p w:rsidR="008724BC" w:rsidRPr="006050E6" w:rsidRDefault="008724BC" w:rsidP="00AE6D39">
      <w:pPr>
        <w:numPr>
          <w:ilvl w:val="0"/>
          <w:numId w:val="1"/>
        </w:numPr>
        <w:spacing w:before="120" w:after="120" w:line="360" w:lineRule="auto"/>
        <w:ind w:left="714" w:hanging="357"/>
        <w:jc w:val="both"/>
        <w:rPr>
          <w:sz w:val="24"/>
          <w:szCs w:val="24"/>
        </w:rPr>
      </w:pPr>
      <w:r w:rsidRPr="006050E6">
        <w:rPr>
          <w:b/>
          <w:i/>
          <w:sz w:val="24"/>
          <w:szCs w:val="24"/>
        </w:rPr>
        <w:t>Product service systems:</w:t>
      </w:r>
      <w:r w:rsidRPr="006050E6">
        <w:rPr>
          <w:sz w:val="24"/>
          <w:szCs w:val="24"/>
        </w:rPr>
        <w:t xml:space="preserve"> efforts to develop new business models enabl</w:t>
      </w:r>
      <w:r w:rsidR="00BD418B">
        <w:rPr>
          <w:sz w:val="24"/>
          <w:szCs w:val="24"/>
        </w:rPr>
        <w:t>ing</w:t>
      </w:r>
      <w:r w:rsidRPr="006050E6">
        <w:rPr>
          <w:sz w:val="24"/>
          <w:szCs w:val="24"/>
        </w:rPr>
        <w:t xml:space="preserve"> companies – from the construction sector or </w:t>
      </w:r>
      <w:r w:rsidR="00BD418B">
        <w:rPr>
          <w:sz w:val="24"/>
          <w:szCs w:val="24"/>
        </w:rPr>
        <w:t>other</w:t>
      </w:r>
      <w:r w:rsidRPr="006050E6">
        <w:rPr>
          <w:sz w:val="24"/>
          <w:szCs w:val="24"/>
        </w:rPr>
        <w:t xml:space="preserve"> – to generate revenues </w:t>
      </w:r>
      <w:r w:rsidR="00E7262D">
        <w:rPr>
          <w:sz w:val="24"/>
          <w:szCs w:val="24"/>
        </w:rPr>
        <w:t>after</w:t>
      </w:r>
      <w:r w:rsidRPr="006050E6">
        <w:rPr>
          <w:sz w:val="24"/>
          <w:szCs w:val="24"/>
        </w:rPr>
        <w:t xml:space="preserve"> the hand-over of a construction project.</w:t>
      </w:r>
    </w:p>
    <w:p w:rsidR="008724BC" w:rsidRPr="006050E6" w:rsidRDefault="008724BC" w:rsidP="002120C8">
      <w:pPr>
        <w:numPr>
          <w:ilvl w:val="0"/>
          <w:numId w:val="1"/>
        </w:numPr>
        <w:spacing w:before="120" w:after="120" w:line="360" w:lineRule="auto"/>
        <w:ind w:left="714" w:hanging="357"/>
        <w:jc w:val="both"/>
        <w:rPr>
          <w:sz w:val="24"/>
          <w:szCs w:val="24"/>
        </w:rPr>
      </w:pPr>
      <w:r w:rsidRPr="006050E6">
        <w:rPr>
          <w:b/>
          <w:i/>
          <w:sz w:val="24"/>
          <w:szCs w:val="24"/>
        </w:rPr>
        <w:t>Digitalisation:</w:t>
      </w:r>
      <w:r w:rsidRPr="006050E6">
        <w:rPr>
          <w:sz w:val="24"/>
          <w:szCs w:val="24"/>
        </w:rPr>
        <w:t xml:space="preserve"> </w:t>
      </w:r>
      <w:r w:rsidR="00BD418B">
        <w:rPr>
          <w:sz w:val="24"/>
          <w:szCs w:val="24"/>
        </w:rPr>
        <w:t>D</w:t>
      </w:r>
      <w:r w:rsidRPr="006050E6">
        <w:rPr>
          <w:sz w:val="24"/>
          <w:szCs w:val="24"/>
        </w:rPr>
        <w:t xml:space="preserve">igital technologies </w:t>
      </w:r>
      <w:r w:rsidR="00BD418B">
        <w:rPr>
          <w:sz w:val="24"/>
          <w:szCs w:val="24"/>
        </w:rPr>
        <w:t xml:space="preserve">are slowly </w:t>
      </w:r>
      <w:r w:rsidR="00EE5A5B">
        <w:rPr>
          <w:sz w:val="24"/>
          <w:szCs w:val="24"/>
        </w:rPr>
        <w:t xml:space="preserve">finding their way </w:t>
      </w:r>
      <w:r w:rsidRPr="006050E6">
        <w:rPr>
          <w:sz w:val="24"/>
          <w:szCs w:val="24"/>
        </w:rPr>
        <w:t>in the construction sector</w:t>
      </w:r>
      <w:r w:rsidR="00EE5A5B">
        <w:rPr>
          <w:sz w:val="24"/>
          <w:szCs w:val="24"/>
        </w:rPr>
        <w:t>, more slowly than in other sectors</w:t>
      </w:r>
      <w:r w:rsidRPr="006050E6">
        <w:rPr>
          <w:sz w:val="24"/>
          <w:szCs w:val="24"/>
        </w:rPr>
        <w:t xml:space="preserve">. </w:t>
      </w:r>
      <w:r w:rsidR="00BD418B">
        <w:rPr>
          <w:sz w:val="24"/>
          <w:szCs w:val="24"/>
        </w:rPr>
        <w:t>T</w:t>
      </w:r>
      <w:r w:rsidRPr="006050E6">
        <w:rPr>
          <w:sz w:val="24"/>
          <w:szCs w:val="24"/>
        </w:rPr>
        <w:t xml:space="preserve">he construction sector </w:t>
      </w:r>
      <w:r w:rsidR="00EE5A5B">
        <w:rPr>
          <w:sz w:val="24"/>
          <w:szCs w:val="24"/>
        </w:rPr>
        <w:t>needs</w:t>
      </w:r>
      <w:r w:rsidRPr="006050E6">
        <w:rPr>
          <w:sz w:val="24"/>
          <w:szCs w:val="24"/>
        </w:rPr>
        <w:t xml:space="preserve"> </w:t>
      </w:r>
      <w:r w:rsidR="00EE5A5B">
        <w:rPr>
          <w:sz w:val="24"/>
          <w:szCs w:val="24"/>
        </w:rPr>
        <w:t>to adjust rapidly</w:t>
      </w:r>
      <w:r w:rsidRPr="006050E6">
        <w:rPr>
          <w:sz w:val="24"/>
          <w:szCs w:val="24"/>
        </w:rPr>
        <w:t xml:space="preserve"> to ICT-enabled </w:t>
      </w:r>
      <w:r w:rsidR="002120C8">
        <w:rPr>
          <w:sz w:val="24"/>
          <w:szCs w:val="24"/>
        </w:rPr>
        <w:t>"smart solutions"</w:t>
      </w:r>
      <w:r w:rsidRPr="006050E6">
        <w:rPr>
          <w:sz w:val="24"/>
          <w:szCs w:val="24"/>
        </w:rPr>
        <w:t xml:space="preserve">. </w:t>
      </w:r>
    </w:p>
    <w:p w:rsidR="008724BC" w:rsidRDefault="00BD418B" w:rsidP="00AE6D39">
      <w:pPr>
        <w:spacing w:before="120" w:after="120" w:line="360" w:lineRule="auto"/>
        <w:jc w:val="both"/>
        <w:rPr>
          <w:sz w:val="24"/>
          <w:szCs w:val="24"/>
        </w:rPr>
      </w:pPr>
      <w:r>
        <w:rPr>
          <w:sz w:val="24"/>
          <w:szCs w:val="24"/>
        </w:rPr>
        <w:t>D</w:t>
      </w:r>
      <w:r w:rsidR="008724BC" w:rsidRPr="006050E6">
        <w:rPr>
          <w:sz w:val="24"/>
          <w:szCs w:val="24"/>
        </w:rPr>
        <w:t xml:space="preserve">igital technologies have the potential to raise efficiency of construction processes and in the operation of buildings and infrastructure. They also will facilitate collaborative approaches to drive innovation, attract young and IT-skilled people to the sector and reduce waste. There is a need, therefore, to boost the digitalisation of design, planning, execution and operation in </w:t>
      </w:r>
      <w:r w:rsidR="008724BC" w:rsidRPr="006050E6">
        <w:rPr>
          <w:sz w:val="24"/>
          <w:szCs w:val="24"/>
        </w:rPr>
        <w:lastRenderedPageBreak/>
        <w:t xml:space="preserve">the construction sector and throughout the value chain until it becomes </w:t>
      </w:r>
      <w:r w:rsidR="00EE5A5B">
        <w:rPr>
          <w:sz w:val="24"/>
          <w:szCs w:val="24"/>
        </w:rPr>
        <w:t xml:space="preserve">a </w:t>
      </w:r>
      <w:r w:rsidR="008724BC" w:rsidRPr="006050E6">
        <w:rPr>
          <w:sz w:val="24"/>
          <w:szCs w:val="24"/>
        </w:rPr>
        <w:t xml:space="preserve">standard operating procedure for the sector. </w:t>
      </w:r>
      <w:r w:rsidR="00E7262D">
        <w:rPr>
          <w:sz w:val="24"/>
          <w:szCs w:val="24"/>
        </w:rPr>
        <w:t>T</w:t>
      </w:r>
      <w:r w:rsidR="008724BC" w:rsidRPr="006050E6">
        <w:rPr>
          <w:sz w:val="24"/>
          <w:szCs w:val="24"/>
        </w:rPr>
        <w:t xml:space="preserve">he construction industry needs </w:t>
      </w:r>
      <w:r w:rsidR="00E7262D">
        <w:rPr>
          <w:sz w:val="24"/>
          <w:szCs w:val="24"/>
        </w:rPr>
        <w:t xml:space="preserve">to </w:t>
      </w:r>
      <w:r w:rsidR="008724BC" w:rsidRPr="006050E6">
        <w:rPr>
          <w:sz w:val="24"/>
          <w:szCs w:val="24"/>
        </w:rPr>
        <w:t xml:space="preserve">exchange best practices </w:t>
      </w:r>
      <w:r w:rsidR="00E7262D">
        <w:rPr>
          <w:sz w:val="24"/>
          <w:szCs w:val="24"/>
        </w:rPr>
        <w:t>more activel</w:t>
      </w:r>
      <w:r w:rsidR="00EE5A5B">
        <w:rPr>
          <w:sz w:val="24"/>
          <w:szCs w:val="24"/>
        </w:rPr>
        <w:t>y</w:t>
      </w:r>
      <w:r w:rsidR="00E7262D">
        <w:rPr>
          <w:sz w:val="24"/>
          <w:szCs w:val="24"/>
        </w:rPr>
        <w:t xml:space="preserve"> </w:t>
      </w:r>
      <w:r w:rsidR="008724BC" w:rsidRPr="006050E6">
        <w:rPr>
          <w:sz w:val="24"/>
          <w:szCs w:val="24"/>
        </w:rPr>
        <w:t xml:space="preserve">and </w:t>
      </w:r>
      <w:r w:rsidR="00E7262D">
        <w:rPr>
          <w:sz w:val="24"/>
          <w:szCs w:val="24"/>
        </w:rPr>
        <w:t>develop</w:t>
      </w:r>
      <w:r w:rsidR="005A5612">
        <w:rPr>
          <w:sz w:val="24"/>
          <w:szCs w:val="24"/>
        </w:rPr>
        <w:t xml:space="preserve"> </w:t>
      </w:r>
      <w:r w:rsidR="008724BC" w:rsidRPr="006050E6">
        <w:rPr>
          <w:sz w:val="24"/>
          <w:szCs w:val="24"/>
        </w:rPr>
        <w:t xml:space="preserve">collaboration platforms, </w:t>
      </w:r>
      <w:r w:rsidR="00E7262D">
        <w:rPr>
          <w:sz w:val="24"/>
          <w:szCs w:val="24"/>
        </w:rPr>
        <w:t>as well as</w:t>
      </w:r>
      <w:r w:rsidR="008724BC" w:rsidRPr="006050E6">
        <w:rPr>
          <w:sz w:val="24"/>
          <w:szCs w:val="24"/>
        </w:rPr>
        <w:t xml:space="preserve"> ICT systems that work across borders and allow efficient information sharing. </w:t>
      </w:r>
    </w:p>
    <w:p w:rsidR="00183624" w:rsidRPr="006050E6" w:rsidRDefault="00183624" w:rsidP="00AE6D39">
      <w:pPr>
        <w:spacing w:before="120" w:after="120" w:line="360" w:lineRule="auto"/>
        <w:jc w:val="both"/>
        <w:rPr>
          <w:sz w:val="24"/>
          <w:szCs w:val="24"/>
        </w:rPr>
      </w:pPr>
    </w:p>
    <w:p w:rsidR="008724BC" w:rsidRPr="006050E6" w:rsidRDefault="008724BC" w:rsidP="00AE6D39">
      <w:pPr>
        <w:spacing w:before="120" w:after="120" w:line="360" w:lineRule="auto"/>
        <w:jc w:val="both"/>
        <w:rPr>
          <w:b/>
          <w:i/>
          <w:sz w:val="24"/>
          <w:szCs w:val="24"/>
        </w:rPr>
      </w:pPr>
      <w:r w:rsidRPr="006050E6">
        <w:rPr>
          <w:b/>
          <w:i/>
          <w:sz w:val="24"/>
          <w:szCs w:val="24"/>
        </w:rPr>
        <w:t>3. Market integration of products and services</w:t>
      </w:r>
    </w:p>
    <w:p w:rsidR="008724BC" w:rsidRPr="006050E6" w:rsidRDefault="008724BC" w:rsidP="00AE6D39">
      <w:pPr>
        <w:widowControl w:val="0"/>
        <w:autoSpaceDE w:val="0"/>
        <w:autoSpaceDN w:val="0"/>
        <w:adjustRightInd w:val="0"/>
        <w:spacing w:before="120" w:after="120" w:line="360" w:lineRule="auto"/>
        <w:jc w:val="both"/>
        <w:rPr>
          <w:rFonts w:eastAsia="Times New Roman"/>
          <w:color w:val="000000"/>
          <w:sz w:val="24"/>
          <w:szCs w:val="24"/>
        </w:rPr>
      </w:pPr>
      <w:r w:rsidRPr="006050E6">
        <w:rPr>
          <w:rFonts w:eastAsia="Times New Roman"/>
          <w:color w:val="000000"/>
          <w:sz w:val="24"/>
          <w:szCs w:val="24"/>
        </w:rPr>
        <w:t>The construction sector has a significant potential to benefit</w:t>
      </w:r>
      <w:r w:rsidR="005A5612">
        <w:rPr>
          <w:rFonts w:eastAsia="Times New Roman"/>
          <w:color w:val="000000"/>
          <w:sz w:val="24"/>
          <w:szCs w:val="24"/>
        </w:rPr>
        <w:t xml:space="preserve"> </w:t>
      </w:r>
      <w:r w:rsidR="00E7262D">
        <w:rPr>
          <w:rFonts w:eastAsia="Times New Roman"/>
          <w:color w:val="000000"/>
          <w:sz w:val="24"/>
          <w:szCs w:val="24"/>
        </w:rPr>
        <w:t>from</w:t>
      </w:r>
      <w:r w:rsidRPr="006050E6">
        <w:rPr>
          <w:rFonts w:eastAsia="Times New Roman"/>
          <w:color w:val="000000"/>
          <w:sz w:val="24"/>
          <w:szCs w:val="24"/>
        </w:rPr>
        <w:t xml:space="preserve"> the Single Market.</w:t>
      </w:r>
    </w:p>
    <w:p w:rsidR="008724BC" w:rsidRPr="006050E6" w:rsidRDefault="008724BC" w:rsidP="00AE6D39">
      <w:pPr>
        <w:widowControl w:val="0"/>
        <w:autoSpaceDE w:val="0"/>
        <w:autoSpaceDN w:val="0"/>
        <w:adjustRightInd w:val="0"/>
        <w:spacing w:before="120" w:after="120" w:line="360" w:lineRule="auto"/>
        <w:jc w:val="both"/>
        <w:rPr>
          <w:rFonts w:eastAsia="Times New Roman"/>
          <w:color w:val="000000"/>
          <w:sz w:val="24"/>
          <w:szCs w:val="24"/>
        </w:rPr>
      </w:pPr>
      <w:r w:rsidRPr="006050E6">
        <w:rPr>
          <w:rFonts w:eastAsia="Times New Roman"/>
          <w:color w:val="000000"/>
          <w:sz w:val="24"/>
          <w:szCs w:val="24"/>
        </w:rPr>
        <w:t xml:space="preserve">Despite the adoption of the Mutual Recognition Regulation in 2008 and of the Construction Product Regulation in 2011, national requirements and practices continue to </w:t>
      </w:r>
      <w:r w:rsidR="000471A4">
        <w:rPr>
          <w:rFonts w:eastAsia="Times New Roman"/>
          <w:color w:val="000000"/>
          <w:sz w:val="24"/>
          <w:szCs w:val="24"/>
        </w:rPr>
        <w:t>block</w:t>
      </w:r>
      <w:r w:rsidRPr="006050E6">
        <w:rPr>
          <w:rFonts w:eastAsia="Times New Roman"/>
          <w:color w:val="000000"/>
          <w:sz w:val="24"/>
          <w:szCs w:val="24"/>
        </w:rPr>
        <w:t xml:space="preserve"> </w:t>
      </w:r>
      <w:r w:rsidR="000471A4">
        <w:rPr>
          <w:rFonts w:eastAsia="Times New Roman"/>
          <w:color w:val="000000"/>
          <w:sz w:val="24"/>
          <w:szCs w:val="24"/>
        </w:rPr>
        <w:t xml:space="preserve">the </w:t>
      </w:r>
      <w:r w:rsidRPr="006050E6">
        <w:rPr>
          <w:rFonts w:eastAsia="Times New Roman"/>
          <w:color w:val="000000"/>
          <w:sz w:val="24"/>
          <w:szCs w:val="24"/>
        </w:rPr>
        <w:t xml:space="preserve">trade of construction products in the EU, and the same is true for cross-border construction services. </w:t>
      </w:r>
    </w:p>
    <w:p w:rsidR="008724BC" w:rsidRPr="006050E6" w:rsidRDefault="008724BC" w:rsidP="002120C8">
      <w:pPr>
        <w:widowControl w:val="0"/>
        <w:autoSpaceDE w:val="0"/>
        <w:autoSpaceDN w:val="0"/>
        <w:adjustRightInd w:val="0"/>
        <w:spacing w:before="120" w:after="120" w:line="360" w:lineRule="auto"/>
        <w:jc w:val="both"/>
        <w:rPr>
          <w:rFonts w:eastAsia="Times New Roman"/>
          <w:color w:val="000000"/>
          <w:sz w:val="24"/>
          <w:szCs w:val="24"/>
        </w:rPr>
      </w:pPr>
      <w:r w:rsidRPr="006050E6">
        <w:rPr>
          <w:rFonts w:eastAsia="Times New Roman"/>
          <w:color w:val="000000"/>
          <w:sz w:val="24"/>
          <w:szCs w:val="24"/>
        </w:rPr>
        <w:t xml:space="preserve">Indeed, some construction services and related professional services are highly regulated </w:t>
      </w:r>
      <w:r w:rsidR="00001120">
        <w:rPr>
          <w:rFonts w:eastAsia="Times New Roman"/>
          <w:color w:val="000000"/>
          <w:sz w:val="24"/>
          <w:szCs w:val="24"/>
        </w:rPr>
        <w:t xml:space="preserve">in Member States </w:t>
      </w:r>
      <w:r w:rsidRPr="006050E6">
        <w:rPr>
          <w:rFonts w:eastAsia="Times New Roman"/>
          <w:color w:val="000000"/>
          <w:sz w:val="24"/>
          <w:szCs w:val="24"/>
        </w:rPr>
        <w:t xml:space="preserve">and </w:t>
      </w:r>
      <w:r w:rsidR="000471A4">
        <w:rPr>
          <w:rFonts w:eastAsia="Times New Roman"/>
          <w:color w:val="000000"/>
          <w:sz w:val="24"/>
          <w:szCs w:val="24"/>
        </w:rPr>
        <w:t xml:space="preserve">suffer from </w:t>
      </w:r>
      <w:r w:rsidRPr="006050E6">
        <w:rPr>
          <w:rFonts w:eastAsia="Times New Roman"/>
          <w:color w:val="000000"/>
          <w:sz w:val="24"/>
          <w:szCs w:val="24"/>
        </w:rPr>
        <w:t xml:space="preserve">formalities </w:t>
      </w:r>
      <w:r w:rsidR="000471A4">
        <w:rPr>
          <w:rFonts w:eastAsia="Times New Roman"/>
          <w:color w:val="000000"/>
          <w:sz w:val="24"/>
          <w:szCs w:val="24"/>
        </w:rPr>
        <w:t xml:space="preserve">required </w:t>
      </w:r>
      <w:r w:rsidRPr="006050E6">
        <w:rPr>
          <w:rFonts w:eastAsia="Times New Roman"/>
          <w:color w:val="000000"/>
          <w:sz w:val="24"/>
          <w:szCs w:val="24"/>
        </w:rPr>
        <w:t xml:space="preserve">to operate a business or to </w:t>
      </w:r>
      <w:r w:rsidR="00E7262D">
        <w:rPr>
          <w:rFonts w:eastAsia="Times New Roman"/>
          <w:color w:val="000000"/>
          <w:sz w:val="24"/>
          <w:szCs w:val="24"/>
        </w:rPr>
        <w:t>get</w:t>
      </w:r>
      <w:r w:rsidRPr="006050E6">
        <w:rPr>
          <w:rFonts w:eastAsia="Times New Roman"/>
          <w:color w:val="000000"/>
          <w:sz w:val="24"/>
          <w:szCs w:val="24"/>
        </w:rPr>
        <w:t xml:space="preserve"> authorisations. </w:t>
      </w:r>
      <w:r w:rsidR="00E7262D">
        <w:rPr>
          <w:rFonts w:eastAsia="Times New Roman"/>
          <w:color w:val="000000"/>
          <w:sz w:val="24"/>
          <w:szCs w:val="24"/>
        </w:rPr>
        <w:t>While s</w:t>
      </w:r>
      <w:r w:rsidRPr="006050E6">
        <w:rPr>
          <w:rFonts w:eastAsia="Times New Roman"/>
          <w:color w:val="000000"/>
          <w:sz w:val="24"/>
          <w:szCs w:val="24"/>
        </w:rPr>
        <w:t xml:space="preserve">ome Member States have </w:t>
      </w:r>
      <w:r w:rsidR="00E7262D">
        <w:rPr>
          <w:rFonts w:eastAsia="Times New Roman"/>
          <w:color w:val="000000"/>
          <w:sz w:val="24"/>
          <w:szCs w:val="24"/>
        </w:rPr>
        <w:t>simplified regulatory procedures, o</w:t>
      </w:r>
      <w:r w:rsidRPr="006050E6">
        <w:rPr>
          <w:rFonts w:eastAsia="Times New Roman"/>
          <w:color w:val="000000"/>
          <w:sz w:val="24"/>
          <w:szCs w:val="24"/>
        </w:rPr>
        <w:t xml:space="preserve">verall intra-EU trade is still </w:t>
      </w:r>
      <w:r w:rsidR="000C5246">
        <w:rPr>
          <w:rFonts w:eastAsia="Times New Roman"/>
          <w:color w:val="000000"/>
          <w:sz w:val="24"/>
          <w:szCs w:val="24"/>
        </w:rPr>
        <w:t xml:space="preserve">very </w:t>
      </w:r>
      <w:r w:rsidRPr="006050E6">
        <w:rPr>
          <w:rFonts w:eastAsia="Times New Roman"/>
          <w:color w:val="000000"/>
          <w:sz w:val="24"/>
          <w:szCs w:val="24"/>
        </w:rPr>
        <w:t>low</w:t>
      </w:r>
      <w:r w:rsidR="002120C8">
        <w:rPr>
          <w:rFonts w:eastAsia="Times New Roman"/>
          <w:color w:val="000000"/>
          <w:sz w:val="24"/>
          <w:szCs w:val="24"/>
        </w:rPr>
        <w:t xml:space="preserve"> and </w:t>
      </w:r>
      <w:r w:rsidR="000C5246">
        <w:rPr>
          <w:rFonts w:eastAsia="Times New Roman"/>
          <w:color w:val="000000"/>
          <w:sz w:val="24"/>
          <w:szCs w:val="24"/>
        </w:rPr>
        <w:t>among the lowest of services sectors</w:t>
      </w:r>
      <w:r w:rsidRPr="006050E6">
        <w:rPr>
          <w:rFonts w:eastAsia="Times New Roman"/>
          <w:color w:val="000000"/>
          <w:sz w:val="24"/>
          <w:szCs w:val="24"/>
        </w:rPr>
        <w:t>.</w:t>
      </w:r>
    </w:p>
    <w:p w:rsidR="008724BC" w:rsidRPr="006050E6" w:rsidRDefault="008724BC" w:rsidP="00AE6D39">
      <w:pPr>
        <w:widowControl w:val="0"/>
        <w:autoSpaceDE w:val="0"/>
        <w:autoSpaceDN w:val="0"/>
        <w:adjustRightInd w:val="0"/>
        <w:spacing w:before="120" w:after="120" w:line="360" w:lineRule="auto"/>
        <w:jc w:val="both"/>
        <w:rPr>
          <w:rFonts w:eastAsia="Times New Roman"/>
          <w:color w:val="000000"/>
          <w:sz w:val="24"/>
          <w:szCs w:val="24"/>
        </w:rPr>
      </w:pPr>
      <w:r w:rsidRPr="006050E6">
        <w:rPr>
          <w:rFonts w:eastAsia="Times New Roman"/>
          <w:color w:val="000000"/>
          <w:sz w:val="24"/>
          <w:szCs w:val="24"/>
        </w:rPr>
        <w:t xml:space="preserve">To strengthen the </w:t>
      </w:r>
      <w:r w:rsidR="00E7262D">
        <w:rPr>
          <w:rFonts w:eastAsia="Times New Roman"/>
          <w:color w:val="000000"/>
          <w:sz w:val="24"/>
          <w:szCs w:val="24"/>
        </w:rPr>
        <w:t>Single</w:t>
      </w:r>
      <w:r w:rsidRPr="006050E6">
        <w:rPr>
          <w:rFonts w:eastAsia="Times New Roman"/>
          <w:color w:val="000000"/>
          <w:sz w:val="24"/>
          <w:szCs w:val="24"/>
        </w:rPr>
        <w:t xml:space="preserve"> Market </w:t>
      </w:r>
      <w:r w:rsidR="00E7262D">
        <w:rPr>
          <w:rFonts w:eastAsia="Times New Roman"/>
          <w:color w:val="000000"/>
          <w:sz w:val="24"/>
          <w:szCs w:val="24"/>
        </w:rPr>
        <w:t>for</w:t>
      </w:r>
      <w:r w:rsidRPr="006050E6">
        <w:rPr>
          <w:rFonts w:eastAsia="Times New Roman"/>
          <w:color w:val="000000"/>
          <w:sz w:val="24"/>
          <w:szCs w:val="24"/>
        </w:rPr>
        <w:t xml:space="preserve"> construction services and related professional services, the </w:t>
      </w:r>
      <w:r w:rsidR="005A5612">
        <w:rPr>
          <w:rFonts w:eastAsia="Times New Roman"/>
          <w:color w:val="000000"/>
          <w:sz w:val="24"/>
          <w:szCs w:val="24"/>
        </w:rPr>
        <w:t xml:space="preserve">Commission </w:t>
      </w:r>
      <w:r w:rsidR="000C5246">
        <w:rPr>
          <w:rFonts w:eastAsia="Times New Roman"/>
          <w:color w:val="000000"/>
          <w:sz w:val="24"/>
          <w:szCs w:val="24"/>
        </w:rPr>
        <w:t>is considering</w:t>
      </w:r>
      <w:r w:rsidR="005A5612">
        <w:rPr>
          <w:rFonts w:eastAsia="Times New Roman"/>
          <w:color w:val="000000"/>
          <w:sz w:val="24"/>
          <w:szCs w:val="24"/>
        </w:rPr>
        <w:t xml:space="preserve"> a</w:t>
      </w:r>
      <w:r w:rsidRPr="006050E6">
        <w:rPr>
          <w:rFonts w:eastAsia="Times New Roman"/>
          <w:color w:val="000000"/>
          <w:sz w:val="24"/>
          <w:szCs w:val="24"/>
        </w:rPr>
        <w:t xml:space="preserve"> services </w:t>
      </w:r>
      <w:r w:rsidR="000C5246">
        <w:rPr>
          <w:rFonts w:eastAsia="Times New Roman"/>
          <w:color w:val="000000"/>
          <w:sz w:val="24"/>
          <w:szCs w:val="24"/>
        </w:rPr>
        <w:t>certificate</w:t>
      </w:r>
      <w:r w:rsidRPr="006050E6">
        <w:rPr>
          <w:rFonts w:eastAsia="Times New Roman"/>
          <w:color w:val="000000"/>
          <w:sz w:val="24"/>
          <w:szCs w:val="24"/>
        </w:rPr>
        <w:t xml:space="preserve"> for key sectors of the economy, including construction services. Moreover, under its </w:t>
      </w:r>
      <w:r w:rsidR="00E7262D">
        <w:rPr>
          <w:rFonts w:eastAsia="Times New Roman"/>
          <w:color w:val="000000"/>
          <w:sz w:val="24"/>
          <w:szCs w:val="24"/>
        </w:rPr>
        <w:t>REFIT</w:t>
      </w:r>
      <w:r w:rsidRPr="006050E6">
        <w:rPr>
          <w:rFonts w:eastAsia="Times New Roman"/>
          <w:color w:val="000000"/>
          <w:sz w:val="24"/>
          <w:szCs w:val="24"/>
        </w:rPr>
        <w:t xml:space="preserve"> Programme</w:t>
      </w:r>
      <w:r w:rsidR="00D85A75">
        <w:rPr>
          <w:rFonts w:eastAsia="Times New Roman"/>
          <w:color w:val="000000"/>
          <w:sz w:val="24"/>
          <w:szCs w:val="24"/>
        </w:rPr>
        <w:t>,</w:t>
      </w:r>
      <w:r w:rsidRPr="006050E6">
        <w:rPr>
          <w:rFonts w:eastAsia="Times New Roman"/>
          <w:color w:val="000000"/>
          <w:sz w:val="24"/>
          <w:szCs w:val="24"/>
        </w:rPr>
        <w:t xml:space="preserve"> the Commission is undertaking a Fitness Check of </w:t>
      </w:r>
      <w:r w:rsidR="00E7262D">
        <w:rPr>
          <w:rFonts w:eastAsia="Times New Roman"/>
          <w:color w:val="000000"/>
          <w:sz w:val="24"/>
          <w:szCs w:val="24"/>
        </w:rPr>
        <w:t>the</w:t>
      </w:r>
      <w:r w:rsidRPr="006050E6">
        <w:rPr>
          <w:rFonts w:eastAsia="Times New Roman"/>
          <w:color w:val="000000"/>
          <w:sz w:val="24"/>
          <w:szCs w:val="24"/>
        </w:rPr>
        <w:t xml:space="preserve"> legal framework affecting </w:t>
      </w:r>
      <w:r w:rsidR="00001120">
        <w:rPr>
          <w:rFonts w:eastAsia="Times New Roman"/>
          <w:color w:val="000000"/>
          <w:sz w:val="24"/>
          <w:szCs w:val="24"/>
        </w:rPr>
        <w:t>construction</w:t>
      </w:r>
      <w:r w:rsidRPr="006050E6">
        <w:rPr>
          <w:rFonts w:eastAsia="Times New Roman"/>
          <w:color w:val="000000"/>
          <w:sz w:val="24"/>
          <w:szCs w:val="24"/>
        </w:rPr>
        <w:t>.</w:t>
      </w:r>
    </w:p>
    <w:p w:rsidR="008724BC" w:rsidRPr="006050E6" w:rsidRDefault="008724BC" w:rsidP="00AE6D39">
      <w:pPr>
        <w:widowControl w:val="0"/>
        <w:autoSpaceDE w:val="0"/>
        <w:autoSpaceDN w:val="0"/>
        <w:adjustRightInd w:val="0"/>
        <w:spacing w:before="120" w:after="120" w:line="360" w:lineRule="auto"/>
        <w:jc w:val="both"/>
        <w:rPr>
          <w:rFonts w:eastAsia="Times New Roman"/>
          <w:color w:val="000000"/>
          <w:sz w:val="24"/>
          <w:szCs w:val="24"/>
        </w:rPr>
      </w:pPr>
      <w:r w:rsidRPr="006050E6">
        <w:rPr>
          <w:rFonts w:eastAsia="Times New Roman"/>
          <w:color w:val="000000"/>
          <w:sz w:val="24"/>
          <w:szCs w:val="24"/>
        </w:rPr>
        <w:t xml:space="preserve">Bringing about a comprehensive shift towards new business practices also implies </w:t>
      </w:r>
      <w:r w:rsidR="00001120">
        <w:rPr>
          <w:rFonts w:eastAsia="Times New Roman"/>
          <w:color w:val="000000"/>
          <w:sz w:val="24"/>
          <w:szCs w:val="24"/>
        </w:rPr>
        <w:t xml:space="preserve">a </w:t>
      </w:r>
      <w:r w:rsidRPr="006050E6">
        <w:rPr>
          <w:rFonts w:eastAsia="Times New Roman"/>
          <w:color w:val="000000"/>
          <w:sz w:val="24"/>
          <w:szCs w:val="24"/>
        </w:rPr>
        <w:t xml:space="preserve">significant reform of public and private sector procurement for construction. Public policy should provide </w:t>
      </w:r>
      <w:r w:rsidR="00E7262D">
        <w:rPr>
          <w:rFonts w:eastAsia="Times New Roman"/>
          <w:color w:val="000000"/>
          <w:sz w:val="24"/>
          <w:szCs w:val="24"/>
        </w:rPr>
        <w:t xml:space="preserve">a </w:t>
      </w:r>
      <w:r w:rsidRPr="006050E6">
        <w:rPr>
          <w:rFonts w:eastAsia="Times New Roman"/>
          <w:color w:val="000000"/>
          <w:sz w:val="24"/>
          <w:szCs w:val="24"/>
        </w:rPr>
        <w:t xml:space="preserve">legal and regulatory framework to </w:t>
      </w:r>
      <w:r w:rsidR="00E7262D">
        <w:rPr>
          <w:rFonts w:eastAsia="Times New Roman"/>
          <w:color w:val="000000"/>
          <w:sz w:val="24"/>
          <w:szCs w:val="24"/>
        </w:rPr>
        <w:t>improve</w:t>
      </w:r>
      <w:r w:rsidRPr="006050E6">
        <w:rPr>
          <w:rFonts w:eastAsia="Times New Roman"/>
          <w:color w:val="000000"/>
          <w:sz w:val="24"/>
          <w:szCs w:val="24"/>
        </w:rPr>
        <w:t xml:space="preserve"> the functioning of markets</w:t>
      </w:r>
      <w:r w:rsidR="00E7262D">
        <w:rPr>
          <w:rFonts w:eastAsia="Times New Roman"/>
          <w:color w:val="000000"/>
          <w:sz w:val="24"/>
          <w:szCs w:val="24"/>
        </w:rPr>
        <w:t>.</w:t>
      </w:r>
    </w:p>
    <w:p w:rsidR="008724BC" w:rsidRDefault="008724BC" w:rsidP="00AE6D39">
      <w:pPr>
        <w:spacing w:before="120" w:after="120" w:line="360" w:lineRule="auto"/>
        <w:jc w:val="both"/>
        <w:rPr>
          <w:b/>
        </w:rPr>
      </w:pPr>
    </w:p>
    <w:p w:rsidR="008724BC" w:rsidRPr="006050E6" w:rsidRDefault="008724BC" w:rsidP="00E95915">
      <w:pPr>
        <w:spacing w:before="120" w:after="120" w:line="360" w:lineRule="auto"/>
        <w:jc w:val="both"/>
        <w:rPr>
          <w:b/>
        </w:rPr>
      </w:pPr>
      <w:r w:rsidRPr="006050E6">
        <w:rPr>
          <w:b/>
        </w:rPr>
        <w:t>I</w:t>
      </w:r>
      <w:r w:rsidR="00E95915">
        <w:rPr>
          <w:b/>
        </w:rPr>
        <w:t>II</w:t>
      </w:r>
      <w:r w:rsidRPr="006050E6">
        <w:rPr>
          <w:b/>
        </w:rPr>
        <w:t>. EXCHANGE OF VIEWS</w:t>
      </w:r>
    </w:p>
    <w:p w:rsidR="008724BC" w:rsidRPr="006050E6" w:rsidRDefault="008724BC" w:rsidP="00AE6D39">
      <w:pPr>
        <w:spacing w:before="120" w:after="120" w:line="360" w:lineRule="auto"/>
        <w:jc w:val="both"/>
        <w:rPr>
          <w:sz w:val="24"/>
          <w:szCs w:val="24"/>
        </w:rPr>
      </w:pPr>
      <w:r w:rsidRPr="006050E6">
        <w:rPr>
          <w:sz w:val="24"/>
          <w:szCs w:val="24"/>
        </w:rPr>
        <w:t xml:space="preserve">The </w:t>
      </w:r>
      <w:r w:rsidR="000471A4">
        <w:rPr>
          <w:sz w:val="24"/>
          <w:szCs w:val="24"/>
        </w:rPr>
        <w:t xml:space="preserve">2012 </w:t>
      </w:r>
      <w:r w:rsidRPr="006050E6">
        <w:rPr>
          <w:sz w:val="24"/>
          <w:szCs w:val="24"/>
        </w:rPr>
        <w:t xml:space="preserve">strategy and action plan </w:t>
      </w:r>
      <w:r w:rsidR="008C2AFC">
        <w:rPr>
          <w:sz w:val="24"/>
          <w:szCs w:val="24"/>
        </w:rPr>
        <w:t xml:space="preserve">addresses </w:t>
      </w:r>
      <w:r w:rsidR="000C5246">
        <w:rPr>
          <w:sz w:val="24"/>
          <w:szCs w:val="24"/>
        </w:rPr>
        <w:t xml:space="preserve">many of </w:t>
      </w:r>
      <w:r w:rsidR="008C2AFC">
        <w:rPr>
          <w:sz w:val="24"/>
          <w:szCs w:val="24"/>
        </w:rPr>
        <w:t>the</w:t>
      </w:r>
      <w:r w:rsidRPr="006050E6">
        <w:rPr>
          <w:sz w:val="24"/>
          <w:szCs w:val="24"/>
        </w:rPr>
        <w:t xml:space="preserve"> </w:t>
      </w:r>
      <w:r w:rsidR="000471A4">
        <w:rPr>
          <w:sz w:val="24"/>
          <w:szCs w:val="24"/>
        </w:rPr>
        <w:t xml:space="preserve">main challenges faced by the </w:t>
      </w:r>
      <w:r w:rsidR="008C2AFC">
        <w:rPr>
          <w:sz w:val="24"/>
          <w:szCs w:val="24"/>
        </w:rPr>
        <w:t>construction sector</w:t>
      </w:r>
      <w:r w:rsidRPr="006050E6">
        <w:rPr>
          <w:sz w:val="24"/>
          <w:szCs w:val="24"/>
        </w:rPr>
        <w:t xml:space="preserve">. </w:t>
      </w:r>
      <w:r w:rsidR="000471A4">
        <w:rPr>
          <w:sz w:val="24"/>
          <w:szCs w:val="24"/>
        </w:rPr>
        <w:t>T</w:t>
      </w:r>
      <w:r w:rsidRPr="006050E6">
        <w:rPr>
          <w:sz w:val="24"/>
          <w:szCs w:val="24"/>
        </w:rPr>
        <w:t xml:space="preserve">he Commission is preparing a mid-term review of the </w:t>
      </w:r>
      <w:r w:rsidR="000471A4">
        <w:rPr>
          <w:sz w:val="24"/>
          <w:szCs w:val="24"/>
        </w:rPr>
        <w:t xml:space="preserve">2012 </w:t>
      </w:r>
      <w:r w:rsidRPr="006050E6">
        <w:rPr>
          <w:sz w:val="24"/>
          <w:szCs w:val="24"/>
        </w:rPr>
        <w:t xml:space="preserve">strategy </w:t>
      </w:r>
      <w:r w:rsidR="000471A4">
        <w:rPr>
          <w:sz w:val="24"/>
          <w:szCs w:val="24"/>
        </w:rPr>
        <w:t xml:space="preserve">and wants </w:t>
      </w:r>
      <w:r w:rsidRPr="006050E6">
        <w:rPr>
          <w:sz w:val="24"/>
          <w:szCs w:val="24"/>
        </w:rPr>
        <w:t xml:space="preserve">to </w:t>
      </w:r>
      <w:r w:rsidR="000471A4">
        <w:rPr>
          <w:sz w:val="24"/>
          <w:szCs w:val="24"/>
        </w:rPr>
        <w:t>re</w:t>
      </w:r>
      <w:r w:rsidRPr="006050E6">
        <w:rPr>
          <w:sz w:val="24"/>
          <w:szCs w:val="24"/>
        </w:rPr>
        <w:t>focus and reprioritise the action plan.</w:t>
      </w:r>
    </w:p>
    <w:p w:rsidR="008724BC" w:rsidRPr="006050E6" w:rsidRDefault="008C2AFC" w:rsidP="00AE6D39">
      <w:pPr>
        <w:spacing w:before="120" w:after="120" w:line="360" w:lineRule="auto"/>
        <w:jc w:val="both"/>
        <w:rPr>
          <w:sz w:val="24"/>
          <w:szCs w:val="24"/>
        </w:rPr>
      </w:pPr>
      <w:r>
        <w:rPr>
          <w:sz w:val="24"/>
          <w:szCs w:val="24"/>
        </w:rPr>
        <w:t>Ministers</w:t>
      </w:r>
      <w:r w:rsidR="00BD418B">
        <w:rPr>
          <w:sz w:val="24"/>
          <w:szCs w:val="24"/>
        </w:rPr>
        <w:t xml:space="preserve"> are</w:t>
      </w:r>
      <w:r w:rsidR="008724BC" w:rsidRPr="006050E6">
        <w:rPr>
          <w:sz w:val="24"/>
          <w:szCs w:val="24"/>
        </w:rPr>
        <w:t xml:space="preserve"> invited to </w:t>
      </w:r>
      <w:r w:rsidR="00BD418B">
        <w:rPr>
          <w:sz w:val="24"/>
          <w:szCs w:val="24"/>
        </w:rPr>
        <w:t>discuss</w:t>
      </w:r>
      <w:r w:rsidR="008724BC" w:rsidRPr="006050E6">
        <w:rPr>
          <w:sz w:val="24"/>
          <w:szCs w:val="24"/>
        </w:rPr>
        <w:t xml:space="preserve"> the </w:t>
      </w:r>
      <w:r w:rsidR="00BD418B">
        <w:rPr>
          <w:sz w:val="24"/>
          <w:szCs w:val="24"/>
        </w:rPr>
        <w:t xml:space="preserve">main </w:t>
      </w:r>
      <w:r w:rsidR="008724BC" w:rsidRPr="006050E6">
        <w:rPr>
          <w:sz w:val="24"/>
          <w:szCs w:val="24"/>
        </w:rPr>
        <w:t xml:space="preserve">policy objectives and orientations </w:t>
      </w:r>
      <w:r w:rsidR="00BD418B">
        <w:rPr>
          <w:sz w:val="24"/>
          <w:szCs w:val="24"/>
        </w:rPr>
        <w:t>of</w:t>
      </w:r>
      <w:r w:rsidR="008724BC" w:rsidRPr="006050E6">
        <w:rPr>
          <w:sz w:val="24"/>
          <w:szCs w:val="24"/>
        </w:rPr>
        <w:t xml:space="preserve"> a new</w:t>
      </w:r>
      <w:r w:rsidR="00AE6D39">
        <w:rPr>
          <w:sz w:val="24"/>
          <w:szCs w:val="24"/>
        </w:rPr>
        <w:t xml:space="preserve"> </w:t>
      </w:r>
      <w:r w:rsidR="008724BC" w:rsidRPr="006050E6">
        <w:rPr>
          <w:sz w:val="24"/>
          <w:szCs w:val="24"/>
        </w:rPr>
        <w:t>EU construction strategy.</w:t>
      </w:r>
      <w:r w:rsidR="00221FC1">
        <w:rPr>
          <w:sz w:val="24"/>
          <w:szCs w:val="24"/>
        </w:rPr>
        <w:t xml:space="preserve"> </w:t>
      </w:r>
      <w:r w:rsidR="00BD418B">
        <w:rPr>
          <w:sz w:val="24"/>
          <w:szCs w:val="24"/>
        </w:rPr>
        <w:t>T</w:t>
      </w:r>
      <w:r w:rsidR="008724BC" w:rsidRPr="006050E6">
        <w:rPr>
          <w:sz w:val="24"/>
          <w:szCs w:val="24"/>
        </w:rPr>
        <w:t xml:space="preserve">he Presidency invites </w:t>
      </w:r>
      <w:r w:rsidR="00BD418B">
        <w:rPr>
          <w:sz w:val="24"/>
          <w:szCs w:val="24"/>
        </w:rPr>
        <w:t>them in pa</w:t>
      </w:r>
      <w:r>
        <w:rPr>
          <w:sz w:val="24"/>
          <w:szCs w:val="24"/>
        </w:rPr>
        <w:t>r</w:t>
      </w:r>
      <w:r w:rsidR="00BD418B">
        <w:rPr>
          <w:sz w:val="24"/>
          <w:szCs w:val="24"/>
        </w:rPr>
        <w:t xml:space="preserve">ticular </w:t>
      </w:r>
      <w:r w:rsidR="008724BC" w:rsidRPr="006050E6">
        <w:rPr>
          <w:sz w:val="24"/>
          <w:szCs w:val="24"/>
        </w:rPr>
        <w:t>to address the following questions:</w:t>
      </w:r>
    </w:p>
    <w:p w:rsidR="008724BC" w:rsidRPr="00CB0001" w:rsidRDefault="008724BC" w:rsidP="00AE6D39">
      <w:pPr>
        <w:pStyle w:val="ListParagraph"/>
        <w:numPr>
          <w:ilvl w:val="0"/>
          <w:numId w:val="2"/>
        </w:numPr>
        <w:spacing w:before="120" w:after="120" w:line="360" w:lineRule="auto"/>
        <w:ind w:left="567" w:hanging="567"/>
        <w:contextualSpacing w:val="0"/>
        <w:jc w:val="both"/>
        <w:rPr>
          <w:i/>
          <w:sz w:val="24"/>
          <w:szCs w:val="24"/>
        </w:rPr>
      </w:pPr>
      <w:r w:rsidRPr="00CB0001">
        <w:rPr>
          <w:i/>
          <w:sz w:val="24"/>
          <w:szCs w:val="24"/>
        </w:rPr>
        <w:lastRenderedPageBreak/>
        <w:t>What is the role of public policy in deploy</w:t>
      </w:r>
      <w:r w:rsidR="00BD418B" w:rsidRPr="00CB0001">
        <w:rPr>
          <w:i/>
          <w:sz w:val="24"/>
          <w:szCs w:val="24"/>
        </w:rPr>
        <w:t>ing</w:t>
      </w:r>
      <w:r w:rsidR="00AE6D39" w:rsidRPr="00CB0001">
        <w:rPr>
          <w:i/>
          <w:sz w:val="24"/>
          <w:szCs w:val="24"/>
        </w:rPr>
        <w:t xml:space="preserve"> </w:t>
      </w:r>
      <w:r w:rsidRPr="00CB0001">
        <w:rPr>
          <w:i/>
          <w:sz w:val="24"/>
          <w:szCs w:val="24"/>
        </w:rPr>
        <w:t>financial instruments and new public</w:t>
      </w:r>
      <w:r w:rsidR="00BD418B" w:rsidRPr="00CB0001">
        <w:rPr>
          <w:i/>
          <w:sz w:val="24"/>
          <w:szCs w:val="24"/>
        </w:rPr>
        <w:t>-</w:t>
      </w:r>
      <w:r w:rsidRPr="00CB0001">
        <w:rPr>
          <w:i/>
          <w:sz w:val="24"/>
          <w:szCs w:val="24"/>
        </w:rPr>
        <w:t xml:space="preserve">private business models for building and infrastructure investments? </w:t>
      </w:r>
    </w:p>
    <w:p w:rsidR="008724BC" w:rsidRPr="00CB0001" w:rsidRDefault="008724BC" w:rsidP="00AE6D39">
      <w:pPr>
        <w:pStyle w:val="ListParagraph"/>
        <w:numPr>
          <w:ilvl w:val="0"/>
          <w:numId w:val="2"/>
        </w:numPr>
        <w:spacing w:before="120" w:after="120" w:line="360" w:lineRule="auto"/>
        <w:ind w:left="567" w:hanging="567"/>
        <w:contextualSpacing w:val="0"/>
        <w:jc w:val="both"/>
        <w:rPr>
          <w:i/>
          <w:sz w:val="24"/>
          <w:szCs w:val="24"/>
        </w:rPr>
      </w:pPr>
      <w:r w:rsidRPr="00CB0001">
        <w:rPr>
          <w:i/>
          <w:sz w:val="24"/>
          <w:szCs w:val="24"/>
        </w:rPr>
        <w:t>Wh</w:t>
      </w:r>
      <w:r w:rsidR="00BD418B" w:rsidRPr="00CB0001">
        <w:rPr>
          <w:i/>
          <w:sz w:val="24"/>
          <w:szCs w:val="24"/>
        </w:rPr>
        <w:t>at</w:t>
      </w:r>
      <w:r w:rsidR="008C2AFC" w:rsidRPr="00CB0001">
        <w:rPr>
          <w:i/>
          <w:sz w:val="24"/>
          <w:szCs w:val="24"/>
        </w:rPr>
        <w:t xml:space="preserve"> </w:t>
      </w:r>
      <w:r w:rsidRPr="00CB0001">
        <w:rPr>
          <w:i/>
          <w:sz w:val="24"/>
          <w:szCs w:val="24"/>
        </w:rPr>
        <w:t xml:space="preserve">action could </w:t>
      </w:r>
      <w:r w:rsidR="00E00645" w:rsidRPr="00CB0001">
        <w:rPr>
          <w:i/>
          <w:sz w:val="24"/>
          <w:szCs w:val="24"/>
        </w:rPr>
        <w:t xml:space="preserve">the EU </w:t>
      </w:r>
      <w:r w:rsidRPr="00CB0001">
        <w:rPr>
          <w:i/>
          <w:sz w:val="24"/>
          <w:szCs w:val="24"/>
        </w:rPr>
        <w:t>take</w:t>
      </w:r>
      <w:r w:rsidR="008C2AFC" w:rsidRPr="00CB0001">
        <w:rPr>
          <w:i/>
          <w:sz w:val="24"/>
          <w:szCs w:val="24"/>
        </w:rPr>
        <w:t xml:space="preserve"> </w:t>
      </w:r>
      <w:r w:rsidRPr="00CB0001">
        <w:rPr>
          <w:i/>
          <w:sz w:val="24"/>
          <w:szCs w:val="24"/>
        </w:rPr>
        <w:t xml:space="preserve">to </w:t>
      </w:r>
      <w:r w:rsidR="00BD418B" w:rsidRPr="00CB0001">
        <w:rPr>
          <w:i/>
          <w:sz w:val="24"/>
          <w:szCs w:val="24"/>
        </w:rPr>
        <w:t>promote</w:t>
      </w:r>
      <w:r w:rsidRPr="00CB0001">
        <w:rPr>
          <w:i/>
          <w:sz w:val="24"/>
          <w:szCs w:val="24"/>
        </w:rPr>
        <w:t xml:space="preserve"> digitalisation in the construction sector, especially in SMEs, </w:t>
      </w:r>
      <w:r w:rsidR="00E00645" w:rsidRPr="00CB0001">
        <w:rPr>
          <w:i/>
          <w:sz w:val="24"/>
          <w:szCs w:val="24"/>
        </w:rPr>
        <w:t>as well as</w:t>
      </w:r>
      <w:r w:rsidRPr="00CB0001">
        <w:rPr>
          <w:i/>
          <w:sz w:val="24"/>
          <w:szCs w:val="24"/>
        </w:rPr>
        <w:t xml:space="preserve"> the integration of smart technologies in buildings and infrastructure? </w:t>
      </w:r>
    </w:p>
    <w:p w:rsidR="00FC3254" w:rsidRDefault="008724BC" w:rsidP="00D85A75">
      <w:pPr>
        <w:pStyle w:val="ListParagraph"/>
        <w:numPr>
          <w:ilvl w:val="0"/>
          <w:numId w:val="2"/>
        </w:numPr>
        <w:spacing w:before="120" w:after="120" w:line="360" w:lineRule="auto"/>
        <w:ind w:left="567" w:hanging="567"/>
        <w:contextualSpacing w:val="0"/>
        <w:jc w:val="both"/>
        <w:rPr>
          <w:i/>
          <w:sz w:val="24"/>
          <w:szCs w:val="24"/>
        </w:rPr>
      </w:pPr>
      <w:r w:rsidRPr="00CB0001">
        <w:rPr>
          <w:i/>
          <w:sz w:val="24"/>
          <w:szCs w:val="24"/>
        </w:rPr>
        <w:t xml:space="preserve">What </w:t>
      </w:r>
      <w:r w:rsidR="00BD418B" w:rsidRPr="00CB0001">
        <w:rPr>
          <w:i/>
          <w:sz w:val="24"/>
          <w:szCs w:val="24"/>
        </w:rPr>
        <w:t>are the</w:t>
      </w:r>
      <w:r w:rsidRPr="00CB0001">
        <w:rPr>
          <w:i/>
          <w:sz w:val="24"/>
          <w:szCs w:val="24"/>
        </w:rPr>
        <w:t xml:space="preserve"> </w:t>
      </w:r>
      <w:r w:rsidR="00CD79D1">
        <w:rPr>
          <w:i/>
          <w:sz w:val="24"/>
          <w:szCs w:val="24"/>
        </w:rPr>
        <w:t xml:space="preserve">most severe </w:t>
      </w:r>
      <w:r w:rsidRPr="00CB0001">
        <w:rPr>
          <w:i/>
          <w:sz w:val="24"/>
          <w:szCs w:val="24"/>
        </w:rPr>
        <w:t>administrative and regulatory barriers</w:t>
      </w:r>
      <w:r w:rsidR="00CD79D1">
        <w:rPr>
          <w:i/>
          <w:sz w:val="24"/>
          <w:szCs w:val="24"/>
        </w:rPr>
        <w:t xml:space="preserve"> companies face </w:t>
      </w:r>
      <w:r w:rsidR="00D85A75">
        <w:rPr>
          <w:i/>
          <w:sz w:val="24"/>
          <w:szCs w:val="24"/>
        </w:rPr>
        <w:t xml:space="preserve">when </w:t>
      </w:r>
      <w:r w:rsidR="00CD79D1">
        <w:rPr>
          <w:i/>
          <w:sz w:val="24"/>
          <w:szCs w:val="24"/>
        </w:rPr>
        <w:t xml:space="preserve">trying to sell </w:t>
      </w:r>
      <w:r w:rsidR="000679A0">
        <w:rPr>
          <w:i/>
          <w:sz w:val="24"/>
          <w:szCs w:val="24"/>
        </w:rPr>
        <w:t>construction</w:t>
      </w:r>
      <w:r w:rsidR="00CD79D1">
        <w:rPr>
          <w:i/>
          <w:sz w:val="24"/>
          <w:szCs w:val="24"/>
        </w:rPr>
        <w:t xml:space="preserve"> goods and provide services </w:t>
      </w:r>
      <w:r w:rsidR="00D85A75">
        <w:rPr>
          <w:i/>
          <w:sz w:val="24"/>
          <w:szCs w:val="24"/>
        </w:rPr>
        <w:t>a</w:t>
      </w:r>
      <w:r w:rsidR="00CD79D1">
        <w:rPr>
          <w:i/>
          <w:sz w:val="24"/>
          <w:szCs w:val="24"/>
        </w:rPr>
        <w:t>cross</w:t>
      </w:r>
      <w:r w:rsidR="00D85A75">
        <w:rPr>
          <w:i/>
          <w:sz w:val="24"/>
          <w:szCs w:val="24"/>
        </w:rPr>
        <w:t xml:space="preserve"> </w:t>
      </w:r>
      <w:r w:rsidR="00CD79D1">
        <w:rPr>
          <w:i/>
          <w:sz w:val="24"/>
          <w:szCs w:val="24"/>
        </w:rPr>
        <w:t>border</w:t>
      </w:r>
      <w:r w:rsidR="00D85A75">
        <w:rPr>
          <w:i/>
          <w:sz w:val="24"/>
          <w:szCs w:val="24"/>
        </w:rPr>
        <w:t>s</w:t>
      </w:r>
      <w:r w:rsidR="00CD79D1">
        <w:rPr>
          <w:i/>
          <w:sz w:val="24"/>
          <w:szCs w:val="24"/>
        </w:rPr>
        <w:t xml:space="preserve"> </w:t>
      </w:r>
      <w:r w:rsidR="00BD418B" w:rsidRPr="00CB0001">
        <w:rPr>
          <w:i/>
          <w:sz w:val="24"/>
          <w:szCs w:val="24"/>
        </w:rPr>
        <w:t>in the EU</w:t>
      </w:r>
      <w:r w:rsidRPr="00CB0001">
        <w:rPr>
          <w:i/>
          <w:sz w:val="24"/>
          <w:szCs w:val="24"/>
        </w:rPr>
        <w:t xml:space="preserve">? </w:t>
      </w:r>
      <w:r w:rsidR="00CD79D1">
        <w:rPr>
          <w:i/>
          <w:sz w:val="24"/>
          <w:szCs w:val="24"/>
        </w:rPr>
        <w:t xml:space="preserve">How </w:t>
      </w:r>
      <w:r w:rsidR="00D85A75">
        <w:rPr>
          <w:i/>
          <w:sz w:val="24"/>
          <w:szCs w:val="24"/>
        </w:rPr>
        <w:t xml:space="preserve">could </w:t>
      </w:r>
      <w:r w:rsidR="00CD79D1">
        <w:rPr>
          <w:i/>
          <w:sz w:val="24"/>
          <w:szCs w:val="24"/>
        </w:rPr>
        <w:t>EU policies facilitate removing those barriers?</w:t>
      </w:r>
    </w:p>
    <w:p w:rsidR="00D85A75" w:rsidRDefault="00D85A75" w:rsidP="00D85A75">
      <w:pPr>
        <w:spacing w:before="120" w:after="120" w:line="360" w:lineRule="auto"/>
        <w:jc w:val="both"/>
        <w:rPr>
          <w:i/>
          <w:sz w:val="24"/>
          <w:szCs w:val="24"/>
        </w:rPr>
      </w:pPr>
    </w:p>
    <w:p w:rsidR="00D85A75" w:rsidRPr="00D85A75" w:rsidRDefault="00D85A75" w:rsidP="00D85A75">
      <w:pPr>
        <w:spacing w:before="120" w:after="120" w:line="360" w:lineRule="auto"/>
        <w:jc w:val="center"/>
        <w:rPr>
          <w:iCs/>
          <w:sz w:val="24"/>
          <w:szCs w:val="24"/>
        </w:rPr>
      </w:pPr>
      <w:r>
        <w:rPr>
          <w:iCs/>
          <w:sz w:val="24"/>
          <w:szCs w:val="24"/>
        </w:rPr>
        <w:t>__________________</w:t>
      </w:r>
    </w:p>
    <w:sectPr w:rsidR="00D85A75" w:rsidRPr="00D85A75" w:rsidSect="008724BC">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B2" w:rsidRDefault="002536B2" w:rsidP="008724BC">
      <w:pPr>
        <w:spacing w:after="0" w:line="240" w:lineRule="auto"/>
      </w:pPr>
      <w:r>
        <w:separator/>
      </w:r>
    </w:p>
  </w:endnote>
  <w:endnote w:type="continuationSeparator" w:id="0">
    <w:p w:rsidR="002536B2" w:rsidRDefault="002536B2" w:rsidP="0087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5" w:rsidRDefault="00D85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77601"/>
      <w:docPartObj>
        <w:docPartGallery w:val="Page Numbers (Bottom of Page)"/>
        <w:docPartUnique/>
      </w:docPartObj>
    </w:sdtPr>
    <w:sdtEndPr>
      <w:rPr>
        <w:noProof/>
      </w:rPr>
    </w:sdtEndPr>
    <w:sdtContent>
      <w:p w:rsidR="00D85A75" w:rsidRDefault="00D85A75">
        <w:pPr>
          <w:pStyle w:val="Footer"/>
          <w:jc w:val="right"/>
        </w:pPr>
        <w:r>
          <w:fldChar w:fldCharType="begin"/>
        </w:r>
        <w:r>
          <w:instrText xml:space="preserve"> PAGE   \* MERGEFORMAT </w:instrText>
        </w:r>
        <w:r>
          <w:fldChar w:fldCharType="separate"/>
        </w:r>
        <w:r w:rsidR="0072479D">
          <w:rPr>
            <w:noProof/>
          </w:rPr>
          <w:t>2</w:t>
        </w:r>
        <w:r>
          <w:rPr>
            <w:noProof/>
          </w:rPr>
          <w:fldChar w:fldCharType="end"/>
        </w:r>
      </w:p>
    </w:sdtContent>
  </w:sdt>
  <w:p w:rsidR="00D85A75" w:rsidRDefault="00D85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5" w:rsidRDefault="00D8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B2" w:rsidRDefault="002536B2" w:rsidP="008724BC">
      <w:pPr>
        <w:spacing w:after="0" w:line="240" w:lineRule="auto"/>
      </w:pPr>
      <w:r>
        <w:separator/>
      </w:r>
    </w:p>
  </w:footnote>
  <w:footnote w:type="continuationSeparator" w:id="0">
    <w:p w:rsidR="002536B2" w:rsidRDefault="002536B2" w:rsidP="008724BC">
      <w:pPr>
        <w:spacing w:after="0" w:line="240" w:lineRule="auto"/>
      </w:pPr>
      <w:r>
        <w:continuationSeparator/>
      </w:r>
    </w:p>
  </w:footnote>
  <w:footnote w:id="1">
    <w:p w:rsidR="008724BC" w:rsidRPr="00AE6D39" w:rsidRDefault="008724BC" w:rsidP="00B3493D">
      <w:pPr>
        <w:pStyle w:val="FootnoteText"/>
        <w:tabs>
          <w:tab w:val="clear" w:pos="340"/>
        </w:tabs>
        <w:spacing w:after="0" w:line="240" w:lineRule="auto"/>
        <w:ind w:left="0" w:firstLine="0"/>
        <w:rPr>
          <w:sz w:val="20"/>
        </w:rPr>
      </w:pPr>
      <w:r w:rsidRPr="00AE6D39">
        <w:rPr>
          <w:rStyle w:val="FootnoteReference"/>
          <w:sz w:val="20"/>
        </w:rPr>
        <w:footnoteRef/>
      </w:r>
      <w:r w:rsidRPr="00AE6D39">
        <w:rPr>
          <w:sz w:val="20"/>
        </w:rPr>
        <w:t xml:space="preserve"> </w:t>
      </w:r>
      <w:r w:rsidR="00B3493D" w:rsidRPr="00AE6D39">
        <w:rPr>
          <w:sz w:val="20"/>
        </w:rPr>
        <w:t xml:space="preserve">Doc. 13186/12 + ADD 1 of 22 August 2012. </w:t>
      </w:r>
    </w:p>
  </w:footnote>
  <w:footnote w:id="2">
    <w:p w:rsidR="008724BC" w:rsidRPr="00AE6D39" w:rsidRDefault="008724BC" w:rsidP="008724BC">
      <w:pPr>
        <w:spacing w:after="0" w:line="240" w:lineRule="auto"/>
        <w:jc w:val="both"/>
        <w:rPr>
          <w:sz w:val="20"/>
          <w:szCs w:val="20"/>
        </w:rPr>
      </w:pPr>
      <w:r w:rsidRPr="00AE6D39">
        <w:rPr>
          <w:rStyle w:val="FootnoteReference"/>
          <w:sz w:val="20"/>
          <w:szCs w:val="20"/>
        </w:rPr>
        <w:footnoteRef/>
      </w:r>
      <w:r w:rsidRPr="00AE6D39">
        <w:rPr>
          <w:sz w:val="20"/>
          <w:szCs w:val="20"/>
        </w:rPr>
        <w:t xml:space="preserve"> Source: European Commission, Key areas: comparing Member States' performance - </w:t>
      </w:r>
      <w:hyperlink r:id="rId1" w:history="1">
        <w:r w:rsidRPr="00AE6D39">
          <w:rPr>
            <w:rStyle w:val="Hyperlink"/>
            <w:color w:val="auto"/>
            <w:sz w:val="20"/>
            <w:szCs w:val="20"/>
            <w:u w:val="none"/>
          </w:rPr>
          <w:t>Transport</w:t>
        </w:r>
      </w:hyperlink>
      <w:r w:rsidR="00E00E49" w:rsidRPr="00AE6D39">
        <w:rPr>
          <w:rStyle w:val="Hyperlink"/>
          <w:color w:val="auto"/>
          <w:sz w:val="20"/>
          <w:szCs w:val="20"/>
          <w:u w:val="none"/>
        </w:rPr>
        <w:t>.</w:t>
      </w:r>
    </w:p>
  </w:footnote>
  <w:footnote w:id="3">
    <w:p w:rsidR="008724BC" w:rsidRPr="00AE6D39" w:rsidRDefault="008724BC" w:rsidP="008724BC">
      <w:pPr>
        <w:pStyle w:val="FootnoteText"/>
        <w:tabs>
          <w:tab w:val="clear" w:pos="340"/>
        </w:tabs>
        <w:spacing w:after="0" w:line="240" w:lineRule="auto"/>
        <w:ind w:left="0" w:firstLine="0"/>
        <w:rPr>
          <w:sz w:val="20"/>
        </w:rPr>
      </w:pPr>
      <w:r w:rsidRPr="00AE6D39">
        <w:rPr>
          <w:rStyle w:val="FootnoteReference"/>
          <w:sz w:val="20"/>
        </w:rPr>
        <w:footnoteRef/>
      </w:r>
      <w:r w:rsidRPr="00AE6D39">
        <w:rPr>
          <w:sz w:val="20"/>
        </w:rPr>
        <w:t xml:space="preserve"> McKinsey Global Institute, </w:t>
      </w:r>
      <w:hyperlink r:id="rId2" w:history="1">
        <w:r w:rsidRPr="00AE6D39">
          <w:rPr>
            <w:rStyle w:val="Hyperlink"/>
            <w:color w:val="auto"/>
            <w:sz w:val="20"/>
            <w:u w:val="none"/>
          </w:rPr>
          <w:t>Bridging Global Infrastructure Gaps</w:t>
        </w:r>
      </w:hyperlink>
      <w:r w:rsidR="00AE6D39">
        <w:rPr>
          <w:sz w:val="20"/>
        </w:rPr>
        <w:t xml:space="preserve">, June </w:t>
      </w:r>
      <w:r w:rsidRPr="00AE6D39">
        <w:rPr>
          <w:sz w:val="20"/>
        </w:rPr>
        <w:t>2016</w:t>
      </w:r>
      <w:r w:rsidR="00E00E49" w:rsidRPr="00AE6D3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5" w:rsidRDefault="00D85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EE" w:rsidRPr="00256CE8" w:rsidRDefault="004843AA" w:rsidP="003B3ABA">
    <w:pPr>
      <w:pStyle w:val="Header"/>
    </w:pPr>
    <w:r w:rsidRPr="00256CE8">
      <w:rPr>
        <w:noProof/>
        <w:lang w:eastAsia="en-GB"/>
      </w:rPr>
      <w:drawing>
        <wp:anchor distT="0" distB="0" distL="114300" distR="114300" simplePos="0" relativeHeight="251659264" behindDoc="0" locked="0" layoutInCell="1" allowOverlap="1" wp14:anchorId="466739F2" wp14:editId="0126C2A6">
          <wp:simplePos x="0" y="0"/>
          <wp:positionH relativeFrom="page">
            <wp:align>center</wp:align>
          </wp:positionH>
          <wp:positionV relativeFrom="page">
            <wp:align>center</wp:align>
          </wp:positionV>
          <wp:extent cx="2019600" cy="7304400"/>
          <wp:effectExtent l="0" t="0" r="0" b="0"/>
          <wp:wrapNone/>
          <wp:docPr id="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5" w:rsidRDefault="00D85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2949"/>
    <w:multiLevelType w:val="hybridMultilevel"/>
    <w:tmpl w:val="0EFE6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6D6560"/>
    <w:multiLevelType w:val="hybridMultilevel"/>
    <w:tmpl w:val="E436A8D4"/>
    <w:lvl w:ilvl="0" w:tplc="041B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8724BC"/>
    <w:rsid w:val="00001120"/>
    <w:rsid w:val="000471A4"/>
    <w:rsid w:val="00050F55"/>
    <w:rsid w:val="000679A0"/>
    <w:rsid w:val="000A2896"/>
    <w:rsid w:val="000C5246"/>
    <w:rsid w:val="00171F22"/>
    <w:rsid w:val="00183624"/>
    <w:rsid w:val="002120C8"/>
    <w:rsid w:val="00221FC1"/>
    <w:rsid w:val="00247225"/>
    <w:rsid w:val="002536B2"/>
    <w:rsid w:val="002E4A3E"/>
    <w:rsid w:val="00325688"/>
    <w:rsid w:val="003F4BF7"/>
    <w:rsid w:val="004843AA"/>
    <w:rsid w:val="005626B0"/>
    <w:rsid w:val="005A5612"/>
    <w:rsid w:val="0072303B"/>
    <w:rsid w:val="0072479D"/>
    <w:rsid w:val="0072494D"/>
    <w:rsid w:val="0073384D"/>
    <w:rsid w:val="008528F8"/>
    <w:rsid w:val="008724BC"/>
    <w:rsid w:val="008C2AFC"/>
    <w:rsid w:val="00A835EA"/>
    <w:rsid w:val="00AE6D39"/>
    <w:rsid w:val="00B14197"/>
    <w:rsid w:val="00B3493D"/>
    <w:rsid w:val="00BD2BB9"/>
    <w:rsid w:val="00BD418B"/>
    <w:rsid w:val="00C23BCA"/>
    <w:rsid w:val="00C2654E"/>
    <w:rsid w:val="00CB0001"/>
    <w:rsid w:val="00CD79D1"/>
    <w:rsid w:val="00CF35FB"/>
    <w:rsid w:val="00D85A75"/>
    <w:rsid w:val="00E00645"/>
    <w:rsid w:val="00E00E49"/>
    <w:rsid w:val="00E7262D"/>
    <w:rsid w:val="00E75E8C"/>
    <w:rsid w:val="00E848E9"/>
    <w:rsid w:val="00E95915"/>
    <w:rsid w:val="00EE5A5B"/>
    <w:rsid w:val="00FC3254"/>
    <w:rsid w:val="00FE2AF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BC"/>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4BC"/>
    <w:pPr>
      <w:tabs>
        <w:tab w:val="center" w:pos="4536"/>
        <w:tab w:val="right" w:pos="9072"/>
      </w:tabs>
    </w:pPr>
  </w:style>
  <w:style w:type="character" w:customStyle="1" w:styleId="HeaderChar">
    <w:name w:val="Header Char"/>
    <w:basedOn w:val="DefaultParagraphFont"/>
    <w:link w:val="Header"/>
    <w:rsid w:val="008724BC"/>
    <w:rPr>
      <w:rFonts w:ascii="Times New Roman" w:eastAsia="Calibri" w:hAnsi="Times New Roman" w:cs="Times New Roman"/>
      <w:lang w:val="en-GB"/>
    </w:rPr>
  </w:style>
  <w:style w:type="character" w:styleId="FootnoteReference">
    <w:name w:val="footnote reference"/>
    <w:aliases w:val="Footnote Reference Superscript,BVI fnr,Footnote symbol,Footnote reference number,Times 10 Point,Exposant 3 Point,EN Footnote Reference,note TESI,Footnote,Footnote Reference Number,E FNZ,-E Fußnotenzeichen,Footnote#,SUPERS"/>
    <w:link w:val="FootnotesymbolCarZchn"/>
    <w:uiPriority w:val="99"/>
    <w:qFormat/>
    <w:rsid w:val="008724BC"/>
    <w:rPr>
      <w:vertAlign w:val="superscript"/>
    </w:rPr>
  </w:style>
  <w:style w:type="paragraph" w:styleId="FootnoteText">
    <w:name w:val="footnote text"/>
    <w:basedOn w:val="Normal"/>
    <w:link w:val="FootnoteTextChar"/>
    <w:rsid w:val="008724BC"/>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8724BC"/>
    <w:rPr>
      <w:rFonts w:ascii="Times New Roman" w:eastAsia="Calibri" w:hAnsi="Times New Roman" w:cs="Times New Roman"/>
      <w:sz w:val="14"/>
      <w:szCs w:val="20"/>
      <w:lang w:val="en-GB"/>
    </w:rPr>
  </w:style>
  <w:style w:type="paragraph" w:styleId="ListParagraph">
    <w:name w:val="List Paragraph"/>
    <w:basedOn w:val="Normal"/>
    <w:uiPriority w:val="34"/>
    <w:qFormat/>
    <w:rsid w:val="008724BC"/>
    <w:pPr>
      <w:ind w:left="720"/>
      <w:contextualSpacing/>
    </w:pPr>
  </w:style>
  <w:style w:type="character" w:styleId="Hyperlink">
    <w:name w:val="Hyperlink"/>
    <w:basedOn w:val="DefaultParagraphFont"/>
    <w:uiPriority w:val="99"/>
    <w:unhideWhenUsed/>
    <w:rsid w:val="008724BC"/>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724BC"/>
    <w:pPr>
      <w:spacing w:after="160" w:line="240" w:lineRule="exact"/>
      <w:jc w:val="both"/>
    </w:pPr>
    <w:rPr>
      <w:rFonts w:asciiTheme="minorHAnsi" w:eastAsiaTheme="minorHAnsi" w:hAnsiTheme="minorHAnsi" w:cstheme="minorBidi"/>
      <w:vertAlign w:val="superscript"/>
      <w:lang w:val="sk-SK"/>
    </w:rPr>
  </w:style>
  <w:style w:type="paragraph" w:customStyle="1" w:styleId="Annex">
    <w:name w:val="Annex"/>
    <w:basedOn w:val="Normal"/>
    <w:next w:val="Normal"/>
    <w:rsid w:val="008724BC"/>
    <w:pPr>
      <w:spacing w:before="120" w:after="120" w:line="360" w:lineRule="auto"/>
      <w:jc w:val="right"/>
    </w:pPr>
    <w:rPr>
      <w:rFonts w:eastAsia="Times New Roman"/>
      <w:b/>
      <w:sz w:val="24"/>
      <w:szCs w:val="24"/>
      <w:u w:val="single"/>
    </w:rPr>
  </w:style>
  <w:style w:type="paragraph" w:styleId="BalloonText">
    <w:name w:val="Balloon Text"/>
    <w:basedOn w:val="Normal"/>
    <w:link w:val="BalloonTextChar"/>
    <w:uiPriority w:val="99"/>
    <w:semiHidden/>
    <w:unhideWhenUsed/>
    <w:rsid w:val="00B1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97"/>
    <w:rPr>
      <w:rFonts w:ascii="Tahoma" w:eastAsia="Calibri" w:hAnsi="Tahoma" w:cs="Tahoma"/>
      <w:sz w:val="16"/>
      <w:szCs w:val="16"/>
      <w:lang w:val="en-GB"/>
    </w:rPr>
  </w:style>
  <w:style w:type="paragraph" w:styleId="Footer">
    <w:name w:val="footer"/>
    <w:basedOn w:val="Normal"/>
    <w:link w:val="FooterChar"/>
    <w:uiPriority w:val="99"/>
    <w:unhideWhenUsed/>
    <w:rsid w:val="00D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75"/>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BC"/>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4BC"/>
    <w:pPr>
      <w:tabs>
        <w:tab w:val="center" w:pos="4536"/>
        <w:tab w:val="right" w:pos="9072"/>
      </w:tabs>
    </w:pPr>
  </w:style>
  <w:style w:type="character" w:customStyle="1" w:styleId="HeaderChar">
    <w:name w:val="Header Char"/>
    <w:basedOn w:val="DefaultParagraphFont"/>
    <w:link w:val="Header"/>
    <w:rsid w:val="008724BC"/>
    <w:rPr>
      <w:rFonts w:ascii="Times New Roman" w:eastAsia="Calibri" w:hAnsi="Times New Roman" w:cs="Times New Roman"/>
      <w:lang w:val="en-GB"/>
    </w:rPr>
  </w:style>
  <w:style w:type="character" w:styleId="FootnoteReference">
    <w:name w:val="footnote reference"/>
    <w:aliases w:val="Footnote Reference Superscript,BVI fnr,Footnote symbol,Footnote reference number,Times 10 Point,Exposant 3 Point,EN Footnote Reference,note TESI,Footnote,Footnote Reference Number,E FNZ,-E Fußnotenzeichen,Footnote#,SUPERS"/>
    <w:link w:val="FootnotesymbolCarZchn"/>
    <w:uiPriority w:val="99"/>
    <w:qFormat/>
    <w:rsid w:val="008724BC"/>
    <w:rPr>
      <w:vertAlign w:val="superscript"/>
    </w:rPr>
  </w:style>
  <w:style w:type="paragraph" w:styleId="FootnoteText">
    <w:name w:val="footnote text"/>
    <w:basedOn w:val="Normal"/>
    <w:link w:val="FootnoteTextChar"/>
    <w:rsid w:val="008724BC"/>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8724BC"/>
    <w:rPr>
      <w:rFonts w:ascii="Times New Roman" w:eastAsia="Calibri" w:hAnsi="Times New Roman" w:cs="Times New Roman"/>
      <w:sz w:val="14"/>
      <w:szCs w:val="20"/>
      <w:lang w:val="en-GB"/>
    </w:rPr>
  </w:style>
  <w:style w:type="paragraph" w:styleId="ListParagraph">
    <w:name w:val="List Paragraph"/>
    <w:basedOn w:val="Normal"/>
    <w:uiPriority w:val="34"/>
    <w:qFormat/>
    <w:rsid w:val="008724BC"/>
    <w:pPr>
      <w:ind w:left="720"/>
      <w:contextualSpacing/>
    </w:pPr>
  </w:style>
  <w:style w:type="character" w:styleId="Hyperlink">
    <w:name w:val="Hyperlink"/>
    <w:basedOn w:val="DefaultParagraphFont"/>
    <w:uiPriority w:val="99"/>
    <w:unhideWhenUsed/>
    <w:rsid w:val="008724BC"/>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724BC"/>
    <w:pPr>
      <w:spacing w:after="160" w:line="240" w:lineRule="exact"/>
      <w:jc w:val="both"/>
    </w:pPr>
    <w:rPr>
      <w:rFonts w:asciiTheme="minorHAnsi" w:eastAsiaTheme="minorHAnsi" w:hAnsiTheme="minorHAnsi" w:cstheme="minorBidi"/>
      <w:vertAlign w:val="superscript"/>
      <w:lang w:val="sk-SK"/>
    </w:rPr>
  </w:style>
  <w:style w:type="paragraph" w:customStyle="1" w:styleId="Annex">
    <w:name w:val="Annex"/>
    <w:basedOn w:val="Normal"/>
    <w:next w:val="Normal"/>
    <w:rsid w:val="008724BC"/>
    <w:pPr>
      <w:spacing w:before="120" w:after="120" w:line="360" w:lineRule="auto"/>
      <w:jc w:val="right"/>
    </w:pPr>
    <w:rPr>
      <w:rFonts w:eastAsia="Times New Roman"/>
      <w:b/>
      <w:sz w:val="24"/>
      <w:szCs w:val="24"/>
      <w:u w:val="single"/>
    </w:rPr>
  </w:style>
  <w:style w:type="paragraph" w:styleId="BalloonText">
    <w:name w:val="Balloon Text"/>
    <w:basedOn w:val="Normal"/>
    <w:link w:val="BalloonTextChar"/>
    <w:uiPriority w:val="99"/>
    <w:semiHidden/>
    <w:unhideWhenUsed/>
    <w:rsid w:val="00B1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97"/>
    <w:rPr>
      <w:rFonts w:ascii="Tahoma" w:eastAsia="Calibri" w:hAnsi="Tahoma" w:cs="Tahoma"/>
      <w:sz w:val="16"/>
      <w:szCs w:val="16"/>
      <w:lang w:val="en-GB"/>
    </w:rPr>
  </w:style>
  <w:style w:type="paragraph" w:styleId="Footer">
    <w:name w:val="footer"/>
    <w:basedOn w:val="Normal"/>
    <w:link w:val="FooterChar"/>
    <w:uiPriority w:val="99"/>
    <w:unhideWhenUsed/>
    <w:rsid w:val="00D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75"/>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ckinsey.com/industries/infrastructure/our-insights/Bridging-global-infrastructure-gaps?cid=other-eml-alt-mip-mgi-oth-1606" TargetMode="External"/><Relationship Id="rId1" Type="http://schemas.openxmlformats.org/officeDocument/2006/relationships/hyperlink" Target="http://ec.europa.eu/europe2020/pdf/themes/2016/transport_2016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9359</Characters>
  <Application>Microsoft Office Word</Application>
  <DocSecurity>4</DocSecurity>
  <Lines>77</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 SR</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SMULDERS Frits</dc:creator>
  <cp:lastModifiedBy>BIENVENU Caroline</cp:lastModifiedBy>
  <cp:revision>2</cp:revision>
  <cp:lastPrinted>2016-09-20T07:33:00Z</cp:lastPrinted>
  <dcterms:created xsi:type="dcterms:W3CDTF">2016-09-20T07:47:00Z</dcterms:created>
  <dcterms:modified xsi:type="dcterms:W3CDTF">2016-09-20T07:47:00Z</dcterms:modified>
</cp:coreProperties>
</file>