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A85A4" w14:textId="77777777" w:rsidR="00C313B3" w:rsidRDefault="00C313B3" w:rsidP="00BE6DBC">
      <w:pPr>
        <w:pStyle w:val="Heading3"/>
        <w:jc w:val="both"/>
        <w:rPr>
          <w:lang w:val="nl-BE"/>
        </w:rPr>
      </w:pPr>
      <w:r>
        <w:rPr>
          <w:lang w:val="nl-BE"/>
        </w:rPr>
        <w:t>Verslag:</w:t>
      </w:r>
    </w:p>
    <w:p w14:paraId="2AC145D0" w14:textId="77777777" w:rsidR="00404F3F" w:rsidRPr="00404F3F" w:rsidRDefault="00404F3F" w:rsidP="00BE6DBC">
      <w:pPr>
        <w:jc w:val="both"/>
        <w:rPr>
          <w:rFonts w:eastAsiaTheme="majorEastAsia" w:cstheme="majorBidi"/>
          <w:color w:val="2F5496" w:themeColor="accent1" w:themeShade="BF"/>
          <w:sz w:val="28"/>
          <w:szCs w:val="28"/>
          <w:lang w:val="nl-BE"/>
        </w:rPr>
      </w:pPr>
      <w:r w:rsidRPr="00404F3F">
        <w:rPr>
          <w:rFonts w:eastAsiaTheme="majorEastAsia" w:cstheme="majorBidi"/>
          <w:color w:val="2F5496" w:themeColor="accent1" w:themeShade="BF"/>
          <w:sz w:val="28"/>
          <w:szCs w:val="28"/>
          <w:lang w:val="nl-BE"/>
        </w:rPr>
        <w:t xml:space="preserve">Presentatie Nathalie </w:t>
      </w:r>
      <w:proofErr w:type="spellStart"/>
      <w:r w:rsidRPr="00404F3F">
        <w:rPr>
          <w:rFonts w:eastAsiaTheme="majorEastAsia" w:cstheme="majorBidi"/>
          <w:color w:val="2F5496" w:themeColor="accent1" w:themeShade="BF"/>
          <w:sz w:val="28"/>
          <w:szCs w:val="28"/>
          <w:lang w:val="nl-BE"/>
        </w:rPr>
        <w:t>Binet</w:t>
      </w:r>
      <w:proofErr w:type="spellEnd"/>
      <w:r w:rsidRPr="00404F3F">
        <w:rPr>
          <w:rFonts w:eastAsiaTheme="majorEastAsia" w:cstheme="majorBidi"/>
          <w:color w:val="2F5496" w:themeColor="accent1" w:themeShade="BF"/>
          <w:sz w:val="28"/>
          <w:szCs w:val="28"/>
          <w:lang w:val="nl-BE"/>
        </w:rPr>
        <w:t xml:space="preserve"> (EIB)</w:t>
      </w:r>
    </w:p>
    <w:p w14:paraId="3A6C3B05" w14:textId="77777777" w:rsidR="00BE6DBC" w:rsidRPr="00656DBC" w:rsidRDefault="00BE6DBC" w:rsidP="00BE6DBC">
      <w:pPr>
        <w:jc w:val="both"/>
        <w:rPr>
          <w:lang w:val="nl-BE"/>
        </w:rPr>
      </w:pPr>
      <w:r w:rsidRPr="00656DBC">
        <w:rPr>
          <w:lang w:val="nl-BE"/>
        </w:rPr>
        <w:t xml:space="preserve">Nathalie </w:t>
      </w:r>
      <w:proofErr w:type="spellStart"/>
      <w:r w:rsidRPr="00656DBC">
        <w:rPr>
          <w:lang w:val="nl-BE"/>
        </w:rPr>
        <w:t>Binet</w:t>
      </w:r>
      <w:proofErr w:type="spellEnd"/>
      <w:r w:rsidRPr="00656DBC">
        <w:rPr>
          <w:lang w:val="nl-BE"/>
        </w:rPr>
        <w:t>, vertegenwoordiger van de Europese Investeringsbank (EIB), presenteerde de rol van de EIB als publieke bank, geleid door de 27 EU-lidstaten en gericht op EU-beleid, met een voortrekkersrol in groene financiering. De EIB heeft drie klimaatdoelstellingen opgesteld tegen 2025, waarvan de eerste – het toewijzen van minstens 50% van de financiering aan groene projecten – al is gerealiseerd. De bank stemt haar criteria en definities af op de EU-taxonomie.</w:t>
      </w:r>
    </w:p>
    <w:p w14:paraId="65210A01" w14:textId="77777777" w:rsidR="00BE6DBC" w:rsidRPr="00656DBC" w:rsidRDefault="00BE6DBC" w:rsidP="00BE6DBC">
      <w:pPr>
        <w:jc w:val="both"/>
        <w:rPr>
          <w:lang w:val="nl-BE"/>
        </w:rPr>
      </w:pPr>
      <w:proofErr w:type="spellStart"/>
      <w:r w:rsidRPr="00656DBC">
        <w:rPr>
          <w:lang w:val="nl-BE"/>
        </w:rPr>
        <w:t>Binet</w:t>
      </w:r>
      <w:proofErr w:type="spellEnd"/>
      <w:r w:rsidRPr="00656DBC">
        <w:rPr>
          <w:lang w:val="nl-BE"/>
        </w:rPr>
        <w:t xml:space="preserve"> besprak recente bevindingen over de financiering van Europese kmo’s, die sterk afhankelijk zijn van schulden en bankleningen. In vergelijking met de VS is de toegang tot durfkapitaal (VC) in de EU beperkt, wat groeimogelijkheden voor kmo’s belemmert. Positief is dat VC-investeringen in groene technologieën (</w:t>
      </w:r>
      <w:proofErr w:type="spellStart"/>
      <w:r w:rsidRPr="00656DBC">
        <w:rPr>
          <w:lang w:val="nl-BE"/>
        </w:rPr>
        <w:t>Greentech</w:t>
      </w:r>
      <w:proofErr w:type="spellEnd"/>
      <w:r w:rsidRPr="00656DBC">
        <w:rPr>
          <w:lang w:val="nl-BE"/>
        </w:rPr>
        <w:t xml:space="preserve">) in de EU vergelijkbaar zijn met die in de VS. Segmenten zoals energieopslag, circulaire economie en </w:t>
      </w:r>
      <w:proofErr w:type="spellStart"/>
      <w:r w:rsidRPr="00656DBC">
        <w:rPr>
          <w:lang w:val="nl-BE"/>
        </w:rPr>
        <w:t>agri-tech</w:t>
      </w:r>
      <w:proofErr w:type="spellEnd"/>
      <w:r w:rsidRPr="00656DBC">
        <w:rPr>
          <w:lang w:val="nl-BE"/>
        </w:rPr>
        <w:t xml:space="preserve"> zijn veelbelovend, maar deze sectoren vereisen kapitaalintensieve en langetermijninvesteringen, die vaak ontbreken in de markt. Hierdoor kiezen veel Europese groene </w:t>
      </w:r>
      <w:proofErr w:type="spellStart"/>
      <w:r w:rsidRPr="00656DBC">
        <w:rPr>
          <w:lang w:val="nl-BE"/>
        </w:rPr>
        <w:t>scale</w:t>
      </w:r>
      <w:proofErr w:type="spellEnd"/>
      <w:r w:rsidRPr="00656DBC">
        <w:rPr>
          <w:lang w:val="nl-BE"/>
        </w:rPr>
        <w:t>-ups ervoor om naar buitenlandse beurzen te gaan, buiten de EU.</w:t>
      </w:r>
    </w:p>
    <w:p w14:paraId="3F89A460" w14:textId="77777777" w:rsidR="00BE6DBC" w:rsidRPr="00656DBC" w:rsidRDefault="00BE6DBC" w:rsidP="00BE6DBC">
      <w:pPr>
        <w:jc w:val="both"/>
        <w:rPr>
          <w:lang w:val="nl-BE"/>
        </w:rPr>
      </w:pPr>
      <w:r w:rsidRPr="00656DBC">
        <w:rPr>
          <w:lang w:val="nl-BE"/>
        </w:rPr>
        <w:t>Om deze lacunes op te vullen, biedt de EIB een breed financieringscontinuüm, van pre-</w:t>
      </w:r>
      <w:proofErr w:type="spellStart"/>
      <w:r w:rsidRPr="00656DBC">
        <w:rPr>
          <w:lang w:val="nl-BE"/>
        </w:rPr>
        <w:t>seed</w:t>
      </w:r>
      <w:proofErr w:type="spellEnd"/>
      <w:r w:rsidRPr="00656DBC">
        <w:rPr>
          <w:lang w:val="nl-BE"/>
        </w:rPr>
        <w:t xml:space="preserve"> tot </w:t>
      </w:r>
      <w:proofErr w:type="spellStart"/>
      <w:r w:rsidRPr="00656DBC">
        <w:rPr>
          <w:lang w:val="nl-BE"/>
        </w:rPr>
        <w:t>mature</w:t>
      </w:r>
      <w:proofErr w:type="spellEnd"/>
      <w:r w:rsidRPr="00656DBC">
        <w:rPr>
          <w:lang w:val="nl-BE"/>
        </w:rPr>
        <w:t xml:space="preserve"> bedrijven. Zo heeft het European </w:t>
      </w:r>
      <w:proofErr w:type="spellStart"/>
      <w:r w:rsidRPr="00656DBC">
        <w:rPr>
          <w:lang w:val="nl-BE"/>
        </w:rPr>
        <w:t>Innovation</w:t>
      </w:r>
      <w:proofErr w:type="spellEnd"/>
      <w:r w:rsidRPr="00656DBC">
        <w:rPr>
          <w:lang w:val="nl-BE"/>
        </w:rPr>
        <w:t xml:space="preserve"> Council (EIC) Fund een budget van €3,5 miljard voor </w:t>
      </w:r>
      <w:proofErr w:type="spellStart"/>
      <w:r w:rsidRPr="00656DBC">
        <w:rPr>
          <w:lang w:val="nl-BE"/>
        </w:rPr>
        <w:t>start-ups</w:t>
      </w:r>
      <w:proofErr w:type="spellEnd"/>
      <w:r w:rsidRPr="00656DBC">
        <w:rPr>
          <w:lang w:val="nl-BE"/>
        </w:rPr>
        <w:t xml:space="preserve">, en het European Investment Fund (EIF) speelt een sleutelrol als mede-investeerder in durfkapitaal. Daarnaast heeft de EIB gespecialiseerde programma's zoals de European Tech </w:t>
      </w:r>
      <w:proofErr w:type="spellStart"/>
      <w:r w:rsidRPr="00656DBC">
        <w:rPr>
          <w:lang w:val="nl-BE"/>
        </w:rPr>
        <w:t>Champions</w:t>
      </w:r>
      <w:proofErr w:type="spellEnd"/>
      <w:r w:rsidRPr="00656DBC">
        <w:rPr>
          <w:lang w:val="nl-BE"/>
        </w:rPr>
        <w:t xml:space="preserve"> </w:t>
      </w:r>
      <w:proofErr w:type="spellStart"/>
      <w:r w:rsidRPr="00656DBC">
        <w:rPr>
          <w:lang w:val="nl-BE"/>
        </w:rPr>
        <w:t>Initiative</w:t>
      </w:r>
      <w:proofErr w:type="spellEnd"/>
      <w:r w:rsidRPr="00656DBC">
        <w:rPr>
          <w:lang w:val="nl-BE"/>
        </w:rPr>
        <w:t xml:space="preserve"> (ETCI) en de SME IPO Fund om </w:t>
      </w:r>
      <w:proofErr w:type="spellStart"/>
      <w:r w:rsidRPr="00656DBC">
        <w:rPr>
          <w:lang w:val="nl-BE"/>
        </w:rPr>
        <w:t>scale</w:t>
      </w:r>
      <w:proofErr w:type="spellEnd"/>
      <w:r w:rsidRPr="00656DBC">
        <w:rPr>
          <w:lang w:val="nl-BE"/>
        </w:rPr>
        <w:t xml:space="preserve">-ups te ondersteunen. Tot nu toe heeft de EIB ongeveer €7 miljard aan venture </w:t>
      </w:r>
      <w:proofErr w:type="spellStart"/>
      <w:r w:rsidRPr="00656DBC">
        <w:rPr>
          <w:lang w:val="nl-BE"/>
        </w:rPr>
        <w:t>debt</w:t>
      </w:r>
      <w:proofErr w:type="spellEnd"/>
      <w:r w:rsidRPr="00656DBC">
        <w:rPr>
          <w:lang w:val="nl-BE"/>
        </w:rPr>
        <w:t xml:space="preserve"> verstrekt aan 300 bedrijven en ondersteunt ze via specifieke instrumenten groene projecten.</w:t>
      </w:r>
    </w:p>
    <w:p w14:paraId="1E73D2D0" w14:textId="77777777" w:rsidR="00BE6DBC" w:rsidRPr="00656DBC" w:rsidRDefault="00BE6DBC" w:rsidP="00BE6DBC">
      <w:pPr>
        <w:jc w:val="both"/>
        <w:rPr>
          <w:lang w:val="nl-BE"/>
        </w:rPr>
      </w:pPr>
      <w:proofErr w:type="spellStart"/>
      <w:r w:rsidRPr="00656DBC">
        <w:rPr>
          <w:lang w:val="nl-BE"/>
        </w:rPr>
        <w:t>Binet</w:t>
      </w:r>
      <w:proofErr w:type="spellEnd"/>
      <w:r w:rsidRPr="00656DBC">
        <w:rPr>
          <w:lang w:val="nl-BE"/>
        </w:rPr>
        <w:t xml:space="preserve"> benadrukte dat het versnellen van de transitie naar een duurzame economie afhangt van enkele kritieke factoren:</w:t>
      </w:r>
    </w:p>
    <w:p w14:paraId="5C6B4A88" w14:textId="77777777" w:rsidR="00BE6DBC" w:rsidRPr="00656DBC" w:rsidRDefault="00BE6DBC" w:rsidP="00BE6DBC">
      <w:pPr>
        <w:numPr>
          <w:ilvl w:val="0"/>
          <w:numId w:val="2"/>
        </w:numPr>
        <w:jc w:val="both"/>
        <w:rPr>
          <w:lang w:val="nl-BE"/>
        </w:rPr>
      </w:pPr>
      <w:r w:rsidRPr="00656DBC">
        <w:rPr>
          <w:lang w:val="nl-BE"/>
        </w:rPr>
        <w:t>Verdere marktintegratie binnen de EU.</w:t>
      </w:r>
    </w:p>
    <w:p w14:paraId="1B171C80" w14:textId="77777777" w:rsidR="00BE6DBC" w:rsidRPr="00656DBC" w:rsidRDefault="00BE6DBC" w:rsidP="00BE6DBC">
      <w:pPr>
        <w:numPr>
          <w:ilvl w:val="0"/>
          <w:numId w:val="2"/>
        </w:numPr>
        <w:jc w:val="both"/>
        <w:rPr>
          <w:lang w:val="nl-BE"/>
        </w:rPr>
      </w:pPr>
      <w:r w:rsidRPr="00656DBC">
        <w:rPr>
          <w:lang w:val="nl-BE"/>
        </w:rPr>
        <w:t>Het mobiliseren van privaat spaargeld om de kapitaalmarkt te vergroten.</w:t>
      </w:r>
    </w:p>
    <w:p w14:paraId="60AD0CDA" w14:textId="77777777" w:rsidR="00BE6DBC" w:rsidRPr="00656DBC" w:rsidRDefault="00BE6DBC" w:rsidP="00BE6DBC">
      <w:pPr>
        <w:numPr>
          <w:ilvl w:val="0"/>
          <w:numId w:val="2"/>
        </w:numPr>
        <w:jc w:val="both"/>
      </w:pPr>
      <w:proofErr w:type="spellStart"/>
      <w:r w:rsidRPr="00656DBC">
        <w:t>Sterke</w:t>
      </w:r>
      <w:proofErr w:type="spellEnd"/>
      <w:r w:rsidRPr="00656DBC">
        <w:t xml:space="preserve"> </w:t>
      </w:r>
      <w:proofErr w:type="spellStart"/>
      <w:r w:rsidRPr="00656DBC">
        <w:t>ecosystemen</w:t>
      </w:r>
      <w:proofErr w:type="spellEnd"/>
      <w:r w:rsidRPr="00656DBC">
        <w:t xml:space="preserve"> en </w:t>
      </w:r>
      <w:proofErr w:type="spellStart"/>
      <w:r w:rsidRPr="00656DBC">
        <w:t>kennisdeling</w:t>
      </w:r>
      <w:proofErr w:type="spellEnd"/>
      <w:r w:rsidRPr="00656DBC">
        <w:t>.</w:t>
      </w:r>
    </w:p>
    <w:p w14:paraId="69D2E36E" w14:textId="77777777" w:rsidR="00BE6DBC" w:rsidRPr="00656DBC" w:rsidRDefault="00BE6DBC" w:rsidP="00BE6DBC">
      <w:pPr>
        <w:numPr>
          <w:ilvl w:val="0"/>
          <w:numId w:val="2"/>
        </w:numPr>
        <w:jc w:val="both"/>
      </w:pPr>
      <w:proofErr w:type="spellStart"/>
      <w:r w:rsidRPr="00656DBC">
        <w:t>Beleid</w:t>
      </w:r>
      <w:proofErr w:type="spellEnd"/>
      <w:r w:rsidRPr="00656DBC">
        <w:t xml:space="preserve"> </w:t>
      </w:r>
      <w:proofErr w:type="spellStart"/>
      <w:r w:rsidRPr="00656DBC">
        <w:t>dat</w:t>
      </w:r>
      <w:proofErr w:type="spellEnd"/>
      <w:r w:rsidRPr="00656DBC">
        <w:t xml:space="preserve"> </w:t>
      </w:r>
      <w:proofErr w:type="spellStart"/>
      <w:r w:rsidRPr="00656DBC">
        <w:t>innovatie</w:t>
      </w:r>
      <w:proofErr w:type="spellEnd"/>
      <w:r w:rsidRPr="00656DBC">
        <w:t xml:space="preserve"> </w:t>
      </w:r>
      <w:proofErr w:type="spellStart"/>
      <w:r w:rsidRPr="00656DBC">
        <w:t>stimuleert</w:t>
      </w:r>
      <w:proofErr w:type="spellEnd"/>
      <w:r w:rsidRPr="00656DBC">
        <w:t>.</w:t>
      </w:r>
    </w:p>
    <w:p w14:paraId="5A6BE3CD" w14:textId="77777777" w:rsidR="00BE6DBC" w:rsidRPr="00656DBC" w:rsidRDefault="00BE6DBC" w:rsidP="00BE6DBC">
      <w:pPr>
        <w:numPr>
          <w:ilvl w:val="0"/>
          <w:numId w:val="2"/>
        </w:numPr>
        <w:jc w:val="both"/>
        <w:rPr>
          <w:lang w:val="nl-BE"/>
        </w:rPr>
      </w:pPr>
      <w:r w:rsidRPr="00656DBC">
        <w:rPr>
          <w:lang w:val="nl-BE"/>
        </w:rPr>
        <w:t>Rekening houden met sectorale en regionale uitdagingen.</w:t>
      </w:r>
    </w:p>
    <w:p w14:paraId="6E1A428A" w14:textId="39D947EA" w:rsidR="009F5DE7" w:rsidRDefault="009F5DE7">
      <w:pPr>
        <w:rPr>
          <w:lang w:val="nl-BE"/>
        </w:rPr>
      </w:pPr>
      <w:r>
        <w:rPr>
          <w:lang w:val="nl-BE"/>
        </w:rPr>
        <w:br w:type="page"/>
      </w:r>
    </w:p>
    <w:p w14:paraId="78DA202C" w14:textId="77777777" w:rsidR="009F5DE7" w:rsidRDefault="009F5DE7" w:rsidP="009F5DE7">
      <w:pPr>
        <w:pStyle w:val="Heading3"/>
        <w:jc w:val="both"/>
        <w:rPr>
          <w:lang w:val="nl-BE"/>
        </w:rPr>
      </w:pPr>
      <w:r>
        <w:rPr>
          <w:lang w:val="nl-BE"/>
        </w:rPr>
        <w:lastRenderedPageBreak/>
        <w:t>Verslag:</w:t>
      </w:r>
    </w:p>
    <w:p w14:paraId="5FA8A3DD" w14:textId="50DAC0CF" w:rsidR="00C21A04" w:rsidRDefault="009F5DE7" w:rsidP="00BE6DBC">
      <w:pPr>
        <w:jc w:val="both"/>
        <w:rPr>
          <w:rFonts w:eastAsiaTheme="majorEastAsia" w:cstheme="majorBidi"/>
          <w:color w:val="2F5496" w:themeColor="accent1" w:themeShade="BF"/>
          <w:sz w:val="28"/>
          <w:szCs w:val="28"/>
          <w:lang w:val="nl-BE"/>
        </w:rPr>
      </w:pPr>
      <w:r>
        <w:rPr>
          <w:rFonts w:eastAsiaTheme="majorEastAsia" w:cstheme="majorBidi"/>
          <w:color w:val="2F5496" w:themeColor="accent1" w:themeShade="BF"/>
          <w:sz w:val="28"/>
          <w:szCs w:val="28"/>
          <w:lang w:val="nl-BE"/>
        </w:rPr>
        <w:t>Panelgesprek</w:t>
      </w:r>
    </w:p>
    <w:p w14:paraId="79008CCC" w14:textId="77777777" w:rsidR="00045499" w:rsidRPr="00656DBC" w:rsidRDefault="00045499" w:rsidP="00045499">
      <w:pPr>
        <w:rPr>
          <w:b/>
          <w:bCs/>
          <w:lang w:val="nl-BE"/>
        </w:rPr>
      </w:pPr>
      <w:r w:rsidRPr="00656DBC">
        <w:rPr>
          <w:b/>
          <w:bCs/>
          <w:lang w:val="nl-BE"/>
        </w:rPr>
        <w:t>Panelgesprek: Reflecties en aanbevelingen</w:t>
      </w:r>
    </w:p>
    <w:p w14:paraId="2526659F" w14:textId="77777777" w:rsidR="00045499" w:rsidRPr="00656DBC" w:rsidRDefault="00045499" w:rsidP="00045499">
      <w:pPr>
        <w:rPr>
          <w:lang w:val="nl-BE"/>
        </w:rPr>
      </w:pPr>
      <w:r w:rsidRPr="00656DBC">
        <w:rPr>
          <w:lang w:val="nl-BE"/>
        </w:rPr>
        <w:t>Het panel richtte zich op lessen en obstakels in de verduurzaming.</w:t>
      </w:r>
    </w:p>
    <w:p w14:paraId="4D1553D0" w14:textId="77777777" w:rsidR="00045499" w:rsidRPr="00656DBC" w:rsidRDefault="00045499" w:rsidP="00045499">
      <w:pPr>
        <w:rPr>
          <w:b/>
          <w:bCs/>
          <w:lang w:val="nl-BE"/>
        </w:rPr>
      </w:pPr>
      <w:r w:rsidRPr="00656DBC">
        <w:rPr>
          <w:b/>
          <w:bCs/>
          <w:lang w:val="nl-BE"/>
        </w:rPr>
        <w:t>Fragmentatie van de Europese markt</w:t>
      </w:r>
    </w:p>
    <w:p w14:paraId="463D1E3D" w14:textId="77777777" w:rsidR="00045499" w:rsidRPr="00656DBC" w:rsidRDefault="00045499" w:rsidP="00045499">
      <w:pPr>
        <w:rPr>
          <w:lang w:val="nl-BE"/>
        </w:rPr>
      </w:pPr>
      <w:r w:rsidRPr="00656DBC">
        <w:rPr>
          <w:lang w:val="nl-BE"/>
        </w:rPr>
        <w:t>Bart Van Looy wees op de blijvende fragmentatie van de Europese markt als een belemmering voor innovatie en schaalbaarheid. Dit werd bevestigd door Frank Dingemans, die stelde dat te veel verschillende regels de vooruitgang hinderen.</w:t>
      </w:r>
    </w:p>
    <w:p w14:paraId="31BDF589" w14:textId="77777777" w:rsidR="00045499" w:rsidRPr="00656DBC" w:rsidRDefault="00045499" w:rsidP="00045499">
      <w:pPr>
        <w:rPr>
          <w:b/>
          <w:bCs/>
          <w:lang w:val="nl-BE"/>
        </w:rPr>
      </w:pPr>
      <w:r w:rsidRPr="00656DBC">
        <w:rPr>
          <w:b/>
          <w:bCs/>
          <w:lang w:val="nl-BE"/>
        </w:rPr>
        <w:t>Overheidssteun en implementatie</w:t>
      </w:r>
    </w:p>
    <w:p w14:paraId="5F814768" w14:textId="77777777" w:rsidR="00045499" w:rsidRPr="00656DBC" w:rsidRDefault="00045499" w:rsidP="00045499">
      <w:pPr>
        <w:rPr>
          <w:lang w:val="nl-BE"/>
        </w:rPr>
      </w:pPr>
      <w:r w:rsidRPr="00656DBC">
        <w:rPr>
          <w:lang w:val="nl-BE"/>
        </w:rPr>
        <w:t xml:space="preserve">Marco </w:t>
      </w:r>
      <w:proofErr w:type="spellStart"/>
      <w:r w:rsidRPr="00656DBC">
        <w:rPr>
          <w:lang w:val="nl-BE"/>
        </w:rPr>
        <w:t>Indigne</w:t>
      </w:r>
      <w:proofErr w:type="spellEnd"/>
      <w:r w:rsidRPr="00656DBC">
        <w:rPr>
          <w:lang w:val="nl-BE"/>
        </w:rPr>
        <w:t xml:space="preserve"> prees de Vlaamse steun van VLAIO en IWT, maar stelde dat er meer aandacht nodig is voor de implementatie van nieuwe producten en diensten. Vlaamse kmo’s zijn vaak terughoudend om innovaties van andere ondernemers te testen, en ook de overheid kan sterker ondersteunen in dit traject.</w:t>
      </w:r>
    </w:p>
    <w:p w14:paraId="7D9D5B49" w14:textId="77777777" w:rsidR="00045499" w:rsidRPr="00656DBC" w:rsidRDefault="00045499" w:rsidP="00045499">
      <w:pPr>
        <w:rPr>
          <w:b/>
          <w:bCs/>
          <w:lang w:val="nl-BE"/>
        </w:rPr>
      </w:pPr>
      <w:r w:rsidRPr="00656DBC">
        <w:rPr>
          <w:b/>
          <w:bCs/>
          <w:lang w:val="nl-BE"/>
        </w:rPr>
        <w:t>Cultuur en regelgeving</w:t>
      </w:r>
    </w:p>
    <w:p w14:paraId="18C3FF0D" w14:textId="77777777" w:rsidR="00045499" w:rsidRPr="00656DBC" w:rsidRDefault="00045499" w:rsidP="00045499">
      <w:pPr>
        <w:rPr>
          <w:lang w:val="nl-BE"/>
        </w:rPr>
      </w:pPr>
      <w:r w:rsidRPr="00656DBC">
        <w:rPr>
          <w:lang w:val="nl-BE"/>
        </w:rPr>
        <w:t xml:space="preserve">Lander </w:t>
      </w:r>
      <w:proofErr w:type="spellStart"/>
      <w:r w:rsidRPr="00656DBC">
        <w:rPr>
          <w:lang w:val="nl-BE"/>
        </w:rPr>
        <w:t>Hollevoet</w:t>
      </w:r>
      <w:proofErr w:type="spellEnd"/>
      <w:r w:rsidRPr="00656DBC">
        <w:rPr>
          <w:lang w:val="nl-BE"/>
        </w:rPr>
        <w:t xml:space="preserve"> benadrukte de impact van cultuur en regelgeving op innovatie. Hij pleitte voor beter ontworpen regelgeving die niet alleen vertragingen voorkomt, maar ook een competitief voordeel kan bieden. Hij suggereerde dat wetgeving meer zou moeten focussen op wat bereikt moet worden, in plaats van hoe, om ruimte te laten voor innovatieve oplossingen.</w:t>
      </w:r>
    </w:p>
    <w:p w14:paraId="321C4F32" w14:textId="77777777" w:rsidR="00045499" w:rsidRPr="00656DBC" w:rsidRDefault="00045499" w:rsidP="00045499">
      <w:pPr>
        <w:rPr>
          <w:b/>
          <w:bCs/>
          <w:lang w:val="nl-BE"/>
        </w:rPr>
      </w:pPr>
      <w:r w:rsidRPr="00656DBC">
        <w:rPr>
          <w:b/>
          <w:bCs/>
          <w:lang w:val="nl-BE"/>
        </w:rPr>
        <w:t>Duurzaamheid als kernwaarde</w:t>
      </w:r>
    </w:p>
    <w:p w14:paraId="0316F0DB" w14:textId="77777777" w:rsidR="00045499" w:rsidRPr="00656DBC" w:rsidRDefault="00045499" w:rsidP="00045499">
      <w:pPr>
        <w:rPr>
          <w:lang w:val="nl-BE"/>
        </w:rPr>
      </w:pPr>
      <w:r w:rsidRPr="00656DBC">
        <w:rPr>
          <w:lang w:val="nl-BE"/>
        </w:rPr>
        <w:t xml:space="preserve">Jakob </w:t>
      </w:r>
      <w:proofErr w:type="spellStart"/>
      <w:r w:rsidRPr="00656DBC">
        <w:rPr>
          <w:lang w:val="nl-BE"/>
        </w:rPr>
        <w:t>Cleymans</w:t>
      </w:r>
      <w:proofErr w:type="spellEnd"/>
      <w:r w:rsidRPr="00656DBC">
        <w:rPr>
          <w:lang w:val="nl-BE"/>
        </w:rPr>
        <w:t xml:space="preserve"> merkte op dat steeds meer bedrijven duurzaamheid als doelstelling omarmen, maar dat de daadwerkelijke realisatie nog een uitdaging vormt. Kristien Govers benadrukte dat samenwerking essentieel is, met multifunctionele teams die technologische experts en ondernemers verenigen om vooruitgang te boeken.</w:t>
      </w:r>
    </w:p>
    <w:p w14:paraId="2222C42C" w14:textId="77777777" w:rsidR="00045499" w:rsidRPr="00656DBC" w:rsidRDefault="00045499" w:rsidP="00045499">
      <w:pPr>
        <w:rPr>
          <w:b/>
          <w:bCs/>
          <w:lang w:val="nl-BE"/>
        </w:rPr>
      </w:pPr>
      <w:r w:rsidRPr="00656DBC">
        <w:rPr>
          <w:b/>
          <w:bCs/>
          <w:lang w:val="nl-BE"/>
        </w:rPr>
        <w:t>Rol van coöperatieven</w:t>
      </w:r>
    </w:p>
    <w:p w14:paraId="2ACC91D2" w14:textId="77777777" w:rsidR="00045499" w:rsidRPr="00656DBC" w:rsidRDefault="00045499" w:rsidP="00045499">
      <w:pPr>
        <w:rPr>
          <w:lang w:val="nl-BE"/>
        </w:rPr>
      </w:pPr>
      <w:r w:rsidRPr="00656DBC">
        <w:rPr>
          <w:lang w:val="nl-BE"/>
        </w:rPr>
        <w:t xml:space="preserve">Vanuit het publiek werd gesteld dat coöperatieven een belangrijk alternatief kunnen zijn voor traditionele bedrijfsmodellen. Bart Van Looy en andere panelleden benadrukten dat coöperatieven bedrijven kunnen stimuleren om verantwoorder te opereren, terwijl Marco </w:t>
      </w:r>
      <w:proofErr w:type="spellStart"/>
      <w:r w:rsidRPr="00656DBC">
        <w:rPr>
          <w:lang w:val="nl-BE"/>
        </w:rPr>
        <w:t>Indigne</w:t>
      </w:r>
      <w:proofErr w:type="spellEnd"/>
      <w:r w:rsidRPr="00656DBC">
        <w:rPr>
          <w:lang w:val="nl-BE"/>
        </w:rPr>
        <w:t xml:space="preserve"> aangaf dat duurzame bedrijven aantrekkelijker zijn voor talent en beter voorbereid zijn op de toekomst.</w:t>
      </w:r>
    </w:p>
    <w:p w14:paraId="0502FADC" w14:textId="77777777" w:rsidR="00045499" w:rsidRPr="00656DBC" w:rsidRDefault="00045499" w:rsidP="00045499">
      <w:pPr>
        <w:rPr>
          <w:b/>
          <w:bCs/>
          <w:lang w:val="nl-BE"/>
        </w:rPr>
      </w:pPr>
      <w:r w:rsidRPr="00656DBC">
        <w:rPr>
          <w:b/>
          <w:bCs/>
          <w:lang w:val="nl-BE"/>
        </w:rPr>
        <w:t>Wetgeving en Europese steun</w:t>
      </w:r>
    </w:p>
    <w:p w14:paraId="5E5E8E08" w14:textId="77777777" w:rsidR="00045499" w:rsidRPr="00656DBC" w:rsidRDefault="00045499" w:rsidP="00045499">
      <w:pPr>
        <w:rPr>
          <w:lang w:val="nl-BE"/>
        </w:rPr>
      </w:pPr>
      <w:r w:rsidRPr="00656DBC">
        <w:rPr>
          <w:lang w:val="nl-BE"/>
        </w:rPr>
        <w:t>Het panel benadrukte het belang van een flexibel en ondersteunend wetgevend kader. Frank Dingemans wees op nieuwe Europese richtlijnen die bedrijven helpen om hun productieprocessen te verduurzamen. Ook Jan De Pauw benadrukte de rol van Europese steun in het stimuleren van burgerinitiatieven en grensoverschrijdende samenwerking.</w:t>
      </w:r>
    </w:p>
    <w:p w14:paraId="6C7BA704" w14:textId="77777777" w:rsidR="00045499" w:rsidRPr="00656DBC" w:rsidRDefault="00045499" w:rsidP="00045499">
      <w:pPr>
        <w:rPr>
          <w:b/>
          <w:bCs/>
          <w:lang w:val="nl-BE"/>
        </w:rPr>
      </w:pPr>
      <w:r w:rsidRPr="00656DBC">
        <w:rPr>
          <w:b/>
          <w:bCs/>
          <w:lang w:val="nl-BE"/>
        </w:rPr>
        <w:t>Conclusies</w:t>
      </w:r>
    </w:p>
    <w:p w14:paraId="5EC323AF" w14:textId="77777777" w:rsidR="00045499" w:rsidRPr="00656DBC" w:rsidRDefault="00045499" w:rsidP="00045499">
      <w:pPr>
        <w:rPr>
          <w:lang w:val="nl-BE"/>
        </w:rPr>
      </w:pPr>
      <w:r w:rsidRPr="00656DBC">
        <w:rPr>
          <w:lang w:val="nl-BE"/>
        </w:rPr>
        <w:t>Het panel concludeerde dat de transitie naar duurzaamheid kan worden versneld door:</w:t>
      </w:r>
    </w:p>
    <w:p w14:paraId="7F3CEBAE" w14:textId="77777777" w:rsidR="00045499" w:rsidRPr="00656DBC" w:rsidRDefault="00045499" w:rsidP="00045499">
      <w:pPr>
        <w:numPr>
          <w:ilvl w:val="0"/>
          <w:numId w:val="3"/>
        </w:numPr>
        <w:rPr>
          <w:lang w:val="nl-BE"/>
        </w:rPr>
      </w:pPr>
      <w:r w:rsidRPr="00656DBC">
        <w:rPr>
          <w:lang w:val="nl-BE"/>
        </w:rPr>
        <w:t>Vereenvoudiging van regelgeving en snellere vergunningsprocedures.</w:t>
      </w:r>
    </w:p>
    <w:p w14:paraId="5F2A5CC2" w14:textId="77777777" w:rsidR="00045499" w:rsidRPr="00656DBC" w:rsidRDefault="00045499" w:rsidP="00045499">
      <w:pPr>
        <w:numPr>
          <w:ilvl w:val="0"/>
          <w:numId w:val="3"/>
        </w:numPr>
        <w:rPr>
          <w:lang w:val="nl-BE"/>
        </w:rPr>
      </w:pPr>
      <w:r w:rsidRPr="00656DBC">
        <w:rPr>
          <w:lang w:val="nl-BE"/>
        </w:rPr>
        <w:t>Ondersteuning en begeleiding van kmo’s.</w:t>
      </w:r>
    </w:p>
    <w:p w14:paraId="773563B4" w14:textId="77777777" w:rsidR="00045499" w:rsidRPr="00656DBC" w:rsidRDefault="00045499" w:rsidP="00045499">
      <w:pPr>
        <w:numPr>
          <w:ilvl w:val="0"/>
          <w:numId w:val="3"/>
        </w:numPr>
        <w:rPr>
          <w:lang w:val="nl-BE"/>
        </w:rPr>
      </w:pPr>
      <w:r w:rsidRPr="00656DBC">
        <w:rPr>
          <w:lang w:val="nl-BE"/>
        </w:rPr>
        <w:lastRenderedPageBreak/>
        <w:t>Het internaliseren van de echte kosten in economische berekeningen.</w:t>
      </w:r>
    </w:p>
    <w:p w14:paraId="563ED970" w14:textId="77777777" w:rsidR="00045499" w:rsidRPr="00656DBC" w:rsidRDefault="00045499" w:rsidP="00045499">
      <w:pPr>
        <w:numPr>
          <w:ilvl w:val="0"/>
          <w:numId w:val="3"/>
        </w:numPr>
        <w:rPr>
          <w:lang w:val="nl-BE"/>
        </w:rPr>
      </w:pPr>
      <w:r w:rsidRPr="00656DBC">
        <w:rPr>
          <w:lang w:val="nl-BE"/>
        </w:rPr>
        <w:t>Het afschaffen van subsidies voor niet-duurzame oplossingen.</w:t>
      </w:r>
    </w:p>
    <w:p w14:paraId="44289101" w14:textId="77777777" w:rsidR="00045499" w:rsidRPr="00656DBC" w:rsidRDefault="00045499" w:rsidP="00045499">
      <w:pPr>
        <w:numPr>
          <w:ilvl w:val="0"/>
          <w:numId w:val="3"/>
        </w:numPr>
        <w:rPr>
          <w:lang w:val="nl-BE"/>
        </w:rPr>
      </w:pPr>
      <w:r w:rsidRPr="00656DBC">
        <w:rPr>
          <w:lang w:val="nl-BE"/>
        </w:rPr>
        <w:t>Het benutten van de nieuwe EU-regelgeving rond duurzaamheidsrapportage.</w:t>
      </w:r>
    </w:p>
    <w:p w14:paraId="634F9BBE" w14:textId="77777777" w:rsidR="00045499" w:rsidRPr="00045499" w:rsidRDefault="00045499" w:rsidP="00045499">
      <w:pPr>
        <w:rPr>
          <w:lang w:val="nl-BE"/>
        </w:rPr>
      </w:pPr>
    </w:p>
    <w:p w14:paraId="3811FA62" w14:textId="2F8E4183" w:rsidR="009F5DE7" w:rsidRPr="00C313B3" w:rsidRDefault="00B07C66" w:rsidP="00BE6DBC">
      <w:pPr>
        <w:jc w:val="both"/>
        <w:rPr>
          <w:lang w:val="nl-BE"/>
        </w:rPr>
      </w:pPr>
      <w:r>
        <w:rPr>
          <w:lang w:val="nl-BE"/>
        </w:rPr>
        <w:t>-</w:t>
      </w:r>
    </w:p>
    <w:sectPr w:rsidR="009F5DE7" w:rsidRPr="00C313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3B202C"/>
    <w:multiLevelType w:val="multilevel"/>
    <w:tmpl w:val="D314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60929"/>
    <w:multiLevelType w:val="multilevel"/>
    <w:tmpl w:val="F9DC0DBA"/>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6A6E3A49"/>
    <w:multiLevelType w:val="multilevel"/>
    <w:tmpl w:val="6B20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411872">
    <w:abstractNumId w:val="1"/>
  </w:num>
  <w:num w:numId="2" w16cid:durableId="1560943458">
    <w:abstractNumId w:val="2"/>
  </w:num>
  <w:num w:numId="3" w16cid:durableId="137920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A7"/>
    <w:rsid w:val="00045499"/>
    <w:rsid w:val="00404F3F"/>
    <w:rsid w:val="004F7696"/>
    <w:rsid w:val="007344F9"/>
    <w:rsid w:val="007708A7"/>
    <w:rsid w:val="007C618B"/>
    <w:rsid w:val="009A5D27"/>
    <w:rsid w:val="009F5DE7"/>
    <w:rsid w:val="00B07C66"/>
    <w:rsid w:val="00BE6DBC"/>
    <w:rsid w:val="00C21A04"/>
    <w:rsid w:val="00C313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5A70C"/>
  <w15:chartTrackingRefBased/>
  <w15:docId w15:val="{7AD56423-E715-4D69-8778-1C5D3256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3B3"/>
    <w:rPr>
      <w:kern w:val="2"/>
      <w:lang w:val="en-US"/>
      <w14:ligatures w14:val="standardContextual"/>
    </w:rPr>
  </w:style>
  <w:style w:type="paragraph" w:styleId="Heading1">
    <w:name w:val="heading 1"/>
    <w:basedOn w:val="Normal"/>
    <w:next w:val="Normal"/>
    <w:link w:val="Heading1Char"/>
    <w:uiPriority w:val="9"/>
    <w:qFormat/>
    <w:rsid w:val="007708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08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708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08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08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0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08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708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08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08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0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8A7"/>
    <w:rPr>
      <w:rFonts w:eastAsiaTheme="majorEastAsia" w:cstheme="majorBidi"/>
      <w:color w:val="272727" w:themeColor="text1" w:themeTint="D8"/>
    </w:rPr>
  </w:style>
  <w:style w:type="paragraph" w:styleId="Title">
    <w:name w:val="Title"/>
    <w:basedOn w:val="Normal"/>
    <w:next w:val="Normal"/>
    <w:link w:val="TitleChar"/>
    <w:uiPriority w:val="10"/>
    <w:qFormat/>
    <w:rsid w:val="00770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8A7"/>
    <w:pPr>
      <w:spacing w:before="160"/>
      <w:jc w:val="center"/>
    </w:pPr>
    <w:rPr>
      <w:i/>
      <w:iCs/>
      <w:color w:val="404040" w:themeColor="text1" w:themeTint="BF"/>
    </w:rPr>
  </w:style>
  <w:style w:type="character" w:customStyle="1" w:styleId="QuoteChar">
    <w:name w:val="Quote Char"/>
    <w:basedOn w:val="DefaultParagraphFont"/>
    <w:link w:val="Quote"/>
    <w:uiPriority w:val="29"/>
    <w:rsid w:val="007708A7"/>
    <w:rPr>
      <w:i/>
      <w:iCs/>
      <w:color w:val="404040" w:themeColor="text1" w:themeTint="BF"/>
    </w:rPr>
  </w:style>
  <w:style w:type="paragraph" w:styleId="ListParagraph">
    <w:name w:val="List Paragraph"/>
    <w:basedOn w:val="Normal"/>
    <w:uiPriority w:val="34"/>
    <w:qFormat/>
    <w:rsid w:val="007708A7"/>
    <w:pPr>
      <w:ind w:left="720"/>
      <w:contextualSpacing/>
    </w:pPr>
  </w:style>
  <w:style w:type="character" w:styleId="IntenseEmphasis">
    <w:name w:val="Intense Emphasis"/>
    <w:basedOn w:val="DefaultParagraphFont"/>
    <w:uiPriority w:val="21"/>
    <w:qFormat/>
    <w:rsid w:val="007708A7"/>
    <w:rPr>
      <w:i/>
      <w:iCs/>
      <w:color w:val="2F5496" w:themeColor="accent1" w:themeShade="BF"/>
    </w:rPr>
  </w:style>
  <w:style w:type="paragraph" w:styleId="IntenseQuote">
    <w:name w:val="Intense Quote"/>
    <w:basedOn w:val="Normal"/>
    <w:next w:val="Normal"/>
    <w:link w:val="IntenseQuoteChar"/>
    <w:uiPriority w:val="30"/>
    <w:qFormat/>
    <w:rsid w:val="007708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08A7"/>
    <w:rPr>
      <w:i/>
      <w:iCs/>
      <w:color w:val="2F5496" w:themeColor="accent1" w:themeShade="BF"/>
    </w:rPr>
  </w:style>
  <w:style w:type="character" w:styleId="IntenseReference">
    <w:name w:val="Intense Reference"/>
    <w:basedOn w:val="DefaultParagraphFont"/>
    <w:uiPriority w:val="32"/>
    <w:qFormat/>
    <w:rsid w:val="007708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733</Words>
  <Characters>4034</Characters>
  <Application>Microsoft Office Word</Application>
  <DocSecurity>0</DocSecurity>
  <Lines>33</Lines>
  <Paragraphs>9</Paragraphs>
  <ScaleCrop>false</ScaleCrop>
  <Company>Vlaamse overheid</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Nispen Jan</dc:creator>
  <cp:keywords/>
  <dc:description/>
  <cp:lastModifiedBy>Van Nispen Jan</cp:lastModifiedBy>
  <cp:revision>7</cp:revision>
  <dcterms:created xsi:type="dcterms:W3CDTF">2024-11-25T12:35:00Z</dcterms:created>
  <dcterms:modified xsi:type="dcterms:W3CDTF">2024-11-25T12:37:00Z</dcterms:modified>
</cp:coreProperties>
</file>